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152D" w14:textId="77777777" w:rsidR="002B6054" w:rsidRDefault="002B6054" w:rsidP="002B6054">
      <w:pPr>
        <w:spacing w:after="0"/>
        <w:jc w:val="center"/>
        <w:rPr>
          <w:b/>
          <w:bCs/>
          <w:i/>
          <w:iCs/>
          <w:sz w:val="24"/>
          <w:szCs w:val="24"/>
        </w:rPr>
      </w:pPr>
      <w:bookmarkStart w:id="0" w:name="_GoBack"/>
      <w:bookmarkEnd w:id="0"/>
      <w:r>
        <w:rPr>
          <w:b/>
          <w:bCs/>
          <w:i/>
          <w:iCs/>
          <w:sz w:val="24"/>
          <w:szCs w:val="24"/>
        </w:rPr>
        <w:t xml:space="preserve">ПЕРЕЛІК </w:t>
      </w:r>
    </w:p>
    <w:p w14:paraId="1BF90F9B" w14:textId="77777777" w:rsidR="002B6054" w:rsidRDefault="002B6054" w:rsidP="002B6054">
      <w:pPr>
        <w:spacing w:after="0"/>
        <w:jc w:val="center"/>
        <w:rPr>
          <w:b/>
          <w:bCs/>
          <w:i/>
          <w:iCs/>
          <w:sz w:val="24"/>
          <w:szCs w:val="24"/>
        </w:rPr>
      </w:pPr>
      <w:r>
        <w:rPr>
          <w:b/>
          <w:bCs/>
          <w:i/>
          <w:iCs/>
          <w:sz w:val="24"/>
          <w:szCs w:val="24"/>
        </w:rPr>
        <w:t>змін до тендерної документації</w:t>
      </w:r>
    </w:p>
    <w:tbl>
      <w:tblPr>
        <w:tblStyle w:val="a5"/>
        <w:tblW w:w="0" w:type="auto"/>
        <w:tblInd w:w="-289" w:type="dxa"/>
        <w:tblLook w:val="04A0" w:firstRow="1" w:lastRow="0" w:firstColumn="1" w:lastColumn="0" w:noHBand="0" w:noVBand="1"/>
      </w:tblPr>
      <w:tblGrid>
        <w:gridCol w:w="4950"/>
        <w:gridCol w:w="4683"/>
      </w:tblGrid>
      <w:tr w:rsidR="002B6054" w14:paraId="52D6F900" w14:textId="77777777" w:rsidTr="002B6054">
        <w:tc>
          <w:tcPr>
            <w:tcW w:w="5103" w:type="dxa"/>
            <w:tcBorders>
              <w:top w:val="single" w:sz="4" w:space="0" w:color="auto"/>
              <w:left w:val="single" w:sz="4" w:space="0" w:color="auto"/>
              <w:bottom w:val="single" w:sz="4" w:space="0" w:color="auto"/>
              <w:right w:val="single" w:sz="4" w:space="0" w:color="auto"/>
            </w:tcBorders>
            <w:hideMark/>
          </w:tcPr>
          <w:p w14:paraId="3CD85FE3" w14:textId="77777777" w:rsidR="002B6054" w:rsidRDefault="002B6054">
            <w:pPr>
              <w:spacing w:line="240" w:lineRule="auto"/>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До внесення змін до ТД</w:t>
            </w:r>
          </w:p>
        </w:tc>
        <w:tc>
          <w:tcPr>
            <w:tcW w:w="4814" w:type="dxa"/>
            <w:tcBorders>
              <w:top w:val="single" w:sz="4" w:space="0" w:color="auto"/>
              <w:left w:val="single" w:sz="4" w:space="0" w:color="auto"/>
              <w:bottom w:val="single" w:sz="4" w:space="0" w:color="auto"/>
              <w:right w:val="single" w:sz="4" w:space="0" w:color="auto"/>
            </w:tcBorders>
            <w:hideMark/>
          </w:tcPr>
          <w:p w14:paraId="53E3523E" w14:textId="77777777" w:rsidR="002B6054" w:rsidRDefault="002B6054">
            <w:pPr>
              <w:spacing w:line="240" w:lineRule="auto"/>
              <w:jc w:val="center"/>
              <w:rPr>
                <w:rFonts w:ascii="Times New Roman" w:hAnsi="Times New Roman" w:cs="Times New Roman"/>
                <w:b/>
                <w:bCs/>
                <w:i/>
                <w:iCs/>
                <w:sz w:val="20"/>
                <w:szCs w:val="20"/>
                <w:lang w:eastAsia="en-US"/>
              </w:rPr>
            </w:pPr>
            <w:r>
              <w:rPr>
                <w:rFonts w:ascii="Times New Roman" w:hAnsi="Times New Roman" w:cs="Times New Roman"/>
                <w:b/>
                <w:bCs/>
                <w:i/>
                <w:iCs/>
                <w:sz w:val="20"/>
                <w:szCs w:val="20"/>
                <w:lang w:eastAsia="en-US"/>
              </w:rPr>
              <w:t>Після внесення змін до ТД</w:t>
            </w:r>
          </w:p>
        </w:tc>
      </w:tr>
      <w:tr w:rsidR="002B6054" w14:paraId="6202195E"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1C1B6518" w14:textId="77777777" w:rsidR="002B6054" w:rsidRDefault="002B6054">
            <w:pPr>
              <w:spacing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1.Розділ 4. Подання та розгляд тендерної пропозиції</w:t>
            </w:r>
          </w:p>
        </w:tc>
      </w:tr>
      <w:tr w:rsidR="002B6054" w14:paraId="2E5209D1" w14:textId="77777777" w:rsidTr="002B6054">
        <w:tc>
          <w:tcPr>
            <w:tcW w:w="5103" w:type="dxa"/>
            <w:tcBorders>
              <w:top w:val="single" w:sz="4" w:space="0" w:color="auto"/>
              <w:left w:val="single" w:sz="4" w:space="0" w:color="auto"/>
              <w:bottom w:val="single" w:sz="4" w:space="0" w:color="auto"/>
              <w:right w:val="single" w:sz="4" w:space="0" w:color="auto"/>
            </w:tcBorders>
            <w:hideMark/>
          </w:tcPr>
          <w:p w14:paraId="05940837" w14:textId="77777777" w:rsidR="002B6054" w:rsidRDefault="002B6054">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Кінцевий строк подання тендерної пропозиції – </w:t>
            </w:r>
            <w:r>
              <w:rPr>
                <w:rFonts w:ascii="Times New Roman" w:hAnsi="Times New Roman" w:cs="Times New Roman"/>
                <w:sz w:val="20"/>
                <w:szCs w:val="20"/>
                <w:u w:val="single"/>
                <w:lang w:eastAsia="en-US"/>
              </w:rPr>
              <w:t>02.03.2024</w:t>
            </w:r>
            <w:r>
              <w:rPr>
                <w:rFonts w:ascii="Times New Roman" w:hAnsi="Times New Roman" w:cs="Times New Roman"/>
                <w:sz w:val="20"/>
                <w:szCs w:val="20"/>
                <w:lang w:eastAsia="en-US"/>
              </w:rPr>
              <w:t xml:space="preserve"> року, 00:00 год</w:t>
            </w:r>
          </w:p>
        </w:tc>
        <w:tc>
          <w:tcPr>
            <w:tcW w:w="4814" w:type="dxa"/>
            <w:tcBorders>
              <w:top w:val="single" w:sz="4" w:space="0" w:color="auto"/>
              <w:left w:val="single" w:sz="4" w:space="0" w:color="auto"/>
              <w:bottom w:val="single" w:sz="4" w:space="0" w:color="auto"/>
              <w:right w:val="single" w:sz="4" w:space="0" w:color="auto"/>
            </w:tcBorders>
            <w:hideMark/>
          </w:tcPr>
          <w:p w14:paraId="1B0BCA06" w14:textId="77777777" w:rsidR="002B6054" w:rsidRDefault="002B6054">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Кінцевий строк подання тендерної пропозиції – 05.03.2024 року, 00:00 год</w:t>
            </w:r>
          </w:p>
        </w:tc>
      </w:tr>
      <w:tr w:rsidR="002B6054" w14:paraId="2F52591E"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1C4F7543" w14:textId="77777777" w:rsidR="002B6054" w:rsidRDefault="002B6054">
            <w:pPr>
              <w:pStyle w:val="a4"/>
              <w:spacing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2.Розділ 6. Результати торгів та укладення договору про закупівлю,  пункт 3 Проект договору про закупівлю, в абзаці 3</w:t>
            </w:r>
          </w:p>
        </w:tc>
      </w:tr>
      <w:tr w:rsidR="002B6054" w14:paraId="1BC0B4DB" w14:textId="77777777" w:rsidTr="002B6054">
        <w:tc>
          <w:tcPr>
            <w:tcW w:w="5103" w:type="dxa"/>
            <w:tcBorders>
              <w:top w:val="single" w:sz="4" w:space="0" w:color="auto"/>
              <w:left w:val="single" w:sz="4" w:space="0" w:color="auto"/>
              <w:bottom w:val="single" w:sz="4" w:space="0" w:color="auto"/>
              <w:right w:val="single" w:sz="4" w:space="0" w:color="auto"/>
            </w:tcBorders>
            <w:hideMark/>
          </w:tcPr>
          <w:p w14:paraId="05319C35" w14:textId="77777777" w:rsidR="002B6054" w:rsidRDefault="002B6054">
            <w:pPr>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Переможець процедури закупівлі під час укладення договору про закупівлю повинен надати </w:t>
            </w:r>
            <w:r>
              <w:rPr>
                <w:rFonts w:ascii="Times New Roman" w:hAnsi="Times New Roman" w:cs="Times New Roman"/>
                <w:sz w:val="20"/>
                <w:szCs w:val="20"/>
                <w:u w:val="single"/>
                <w:lang w:eastAsia="en-US"/>
              </w:rPr>
              <w:t>в паперовому вигляді</w:t>
            </w:r>
            <w:r>
              <w:rPr>
                <w:rFonts w:ascii="Times New Roman" w:hAnsi="Times New Roman" w:cs="Times New Roman"/>
                <w:sz w:val="20"/>
                <w:szCs w:val="20"/>
                <w:lang w:eastAsia="en-US"/>
              </w:rPr>
              <w:t xml:space="preserve"> належно оформлені документи, а саме:</w:t>
            </w:r>
          </w:p>
        </w:tc>
        <w:tc>
          <w:tcPr>
            <w:tcW w:w="4814" w:type="dxa"/>
            <w:tcBorders>
              <w:top w:val="single" w:sz="4" w:space="0" w:color="auto"/>
              <w:left w:val="single" w:sz="4" w:space="0" w:color="auto"/>
              <w:bottom w:val="single" w:sz="4" w:space="0" w:color="auto"/>
              <w:right w:val="single" w:sz="4" w:space="0" w:color="auto"/>
            </w:tcBorders>
            <w:hideMark/>
          </w:tcPr>
          <w:p w14:paraId="5B425B98" w14:textId="77777777" w:rsidR="002B6054" w:rsidRDefault="002B6054">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Переможець процедури закупівлі під час укладення договору про закупівлю повинен надати  належно оформлені документи, а саме:</w:t>
            </w:r>
          </w:p>
        </w:tc>
      </w:tr>
      <w:tr w:rsidR="002B6054" w14:paraId="19E554A8"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4AE6F8D8" w14:textId="77777777" w:rsidR="002B6054" w:rsidRDefault="002B6054">
            <w:pPr>
              <w:spacing w:line="240" w:lineRule="auto"/>
              <w:jc w:val="center"/>
              <w:rPr>
                <w:rFonts w:ascii="Times New Roman" w:hAnsi="Times New Roman" w:cs="Times New Roman"/>
                <w:sz w:val="20"/>
                <w:szCs w:val="20"/>
                <w:lang w:eastAsia="en-US"/>
              </w:rPr>
            </w:pPr>
            <w:r>
              <w:rPr>
                <w:rFonts w:ascii="Times New Roman" w:hAnsi="Times New Roman" w:cs="Times New Roman"/>
                <w:b/>
                <w:bCs/>
                <w:sz w:val="20"/>
                <w:szCs w:val="20"/>
                <w:lang w:eastAsia="en-US"/>
              </w:rPr>
              <w:t>2.Розділ 6. Результати торгів та укладення договору про закупівлю,  пункт 4 Умови договору про закупівлю</w:t>
            </w:r>
          </w:p>
        </w:tc>
      </w:tr>
      <w:tr w:rsidR="002B6054" w14:paraId="27937ADA" w14:textId="77777777" w:rsidTr="002B6054">
        <w:tc>
          <w:tcPr>
            <w:tcW w:w="5103" w:type="dxa"/>
            <w:tcBorders>
              <w:top w:val="single" w:sz="4" w:space="0" w:color="auto"/>
              <w:left w:val="single" w:sz="4" w:space="0" w:color="auto"/>
              <w:bottom w:val="single" w:sz="4" w:space="0" w:color="auto"/>
              <w:right w:val="single" w:sz="4" w:space="0" w:color="auto"/>
            </w:tcBorders>
            <w:vAlign w:val="center"/>
            <w:hideMark/>
          </w:tcPr>
          <w:p w14:paraId="0DED70E0" w14:textId="77777777" w:rsidR="002B6054" w:rsidRDefault="002B6054">
            <w:pPr>
              <w:widowControl w:val="0"/>
              <w:spacing w:line="240" w:lineRule="auto"/>
              <w:jc w:val="both"/>
              <w:rPr>
                <w:rFonts w:ascii="Times New Roman" w:eastAsia="Times New Roman" w:hAnsi="Times New Roman" w:cs="Times New Roman"/>
                <w:color w:val="00B050"/>
                <w:sz w:val="20"/>
                <w:szCs w:val="20"/>
                <w:highlight w:val="white"/>
                <w:lang w:eastAsia="en-US"/>
              </w:rPr>
            </w:pPr>
            <w:r>
              <w:rPr>
                <w:rFonts w:ascii="Times New Roman" w:eastAsia="Times New Roman" w:hAnsi="Times New Roman" w:cs="Times New Roman"/>
                <w:color w:val="00B050"/>
                <w:sz w:val="20"/>
                <w:szCs w:val="20"/>
                <w:highlight w:val="white"/>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FEB8F" w14:textId="77777777" w:rsidR="002B6054" w:rsidRDefault="002B6054">
            <w:pPr>
              <w:widowControl w:val="0"/>
              <w:spacing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CCB0E8" w14:textId="77777777" w:rsidR="002B6054" w:rsidRDefault="002B6054">
            <w:pPr>
              <w:widowControl w:val="0"/>
              <w:spacing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Істотні умови договору не можуть змінюватися після його підписання до виконання </w:t>
            </w:r>
            <w:proofErr w:type="spellStart"/>
            <w:r>
              <w:rPr>
                <w:rFonts w:ascii="Times New Roman" w:eastAsia="Times New Roman" w:hAnsi="Times New Roman" w:cs="Times New Roman"/>
                <w:sz w:val="20"/>
                <w:szCs w:val="20"/>
                <w:lang w:eastAsia="en-US"/>
              </w:rPr>
              <w:t>зобов»язань</w:t>
            </w:r>
            <w:proofErr w:type="spellEnd"/>
            <w:r>
              <w:rPr>
                <w:rFonts w:ascii="Times New Roman" w:eastAsia="Times New Roman" w:hAnsi="Times New Roman" w:cs="Times New Roman"/>
                <w:sz w:val="20"/>
                <w:szCs w:val="20"/>
                <w:lang w:eastAsia="en-US"/>
              </w:rPr>
              <w:t xml:space="preserve"> сторонами в повному обсязі, крім випадків: </w:t>
            </w:r>
          </w:p>
          <w:p w14:paraId="21AB7399"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зменшення обсягів закупівлі, зокрема з урахуванням фактичного обсягу видатків замовника;</w:t>
            </w:r>
          </w:p>
          <w:p w14:paraId="497E7AB7"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143698EC"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продовження строку дії договору про закупівлю та строку виконання </w:t>
            </w:r>
            <w:proofErr w:type="spellStart"/>
            <w:r>
              <w:rPr>
                <w:rFonts w:ascii="Times New Roman" w:eastAsia="Times New Roman" w:hAnsi="Times New Roman" w:cs="Times New Roman"/>
                <w:sz w:val="20"/>
                <w:szCs w:val="20"/>
                <w:lang w:eastAsia="en-US"/>
              </w:rPr>
              <w:t>зобов»язань</w:t>
            </w:r>
            <w:proofErr w:type="spellEnd"/>
            <w:r>
              <w:rPr>
                <w:rFonts w:ascii="Times New Roman" w:eastAsia="Times New Roman" w:hAnsi="Times New Roman" w:cs="Times New Roman"/>
                <w:sz w:val="20"/>
                <w:szCs w:val="20"/>
                <w:lang w:eastAsia="en-US"/>
              </w:rPr>
              <w:t xml:space="preserve"> щодо виконання робіт у разі виникнення документально підтверджених </w:t>
            </w:r>
            <w:proofErr w:type="spellStart"/>
            <w:r>
              <w:rPr>
                <w:rFonts w:ascii="Times New Roman" w:eastAsia="Times New Roman" w:hAnsi="Times New Roman" w:cs="Times New Roman"/>
                <w:sz w:val="20"/>
                <w:szCs w:val="20"/>
                <w:lang w:eastAsia="en-US"/>
              </w:rPr>
              <w:t>об»єктивних</w:t>
            </w:r>
            <w:proofErr w:type="spellEnd"/>
            <w:r>
              <w:rPr>
                <w:rFonts w:ascii="Times New Roman" w:eastAsia="Times New Roman" w:hAnsi="Times New Roman" w:cs="Times New Roman"/>
                <w:sz w:val="20"/>
                <w:szCs w:val="20"/>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95526E"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погодження зміни ціни в договорі про закупівлю в бік зменшення ( без зміни кількості (обсягу) та якості робіт);</w:t>
            </w:r>
          </w:p>
          <w:p w14:paraId="3487FE62"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зміни ціни в договорі про закупівлю у </w:t>
            </w:r>
            <w:proofErr w:type="spellStart"/>
            <w:r>
              <w:rPr>
                <w:rFonts w:ascii="Times New Roman" w:eastAsia="Times New Roman" w:hAnsi="Times New Roman" w:cs="Times New Roman"/>
                <w:sz w:val="20"/>
                <w:szCs w:val="20"/>
                <w:lang w:eastAsia="en-US"/>
              </w:rPr>
              <w:t>зв»язку</w:t>
            </w:r>
            <w:proofErr w:type="spellEnd"/>
            <w:r>
              <w:rPr>
                <w:rFonts w:ascii="Times New Roman" w:eastAsia="Times New Roman" w:hAnsi="Times New Roman" w:cs="Times New Roman"/>
                <w:sz w:val="20"/>
                <w:szCs w:val="20"/>
                <w:lang w:eastAsia="en-US"/>
              </w:rPr>
              <w:t xml:space="preserve"> зі зміною ставок податків і зборів та /або зміною умов щодо надання пільг з оподаткування – </w:t>
            </w:r>
            <w:proofErr w:type="spellStart"/>
            <w:r>
              <w:rPr>
                <w:rFonts w:ascii="Times New Roman" w:eastAsia="Times New Roman" w:hAnsi="Times New Roman" w:cs="Times New Roman"/>
                <w:sz w:val="20"/>
                <w:szCs w:val="20"/>
                <w:lang w:eastAsia="en-US"/>
              </w:rPr>
              <w:t>пропорційно</w:t>
            </w:r>
            <w:proofErr w:type="spellEnd"/>
            <w:r>
              <w:rPr>
                <w:rFonts w:ascii="Times New Roman" w:eastAsia="Times New Roman" w:hAnsi="Times New Roman" w:cs="Times New Roman"/>
                <w:sz w:val="20"/>
                <w:szCs w:val="20"/>
                <w:lang w:eastAsia="en-US"/>
              </w:rPr>
              <w:t xml:space="preserve"> до зміни таких ставок та /або пільг з оподаткування.</w:t>
            </w:r>
          </w:p>
          <w:p w14:paraId="6036C6D2" w14:textId="77777777" w:rsidR="002B6054" w:rsidRDefault="002B6054" w:rsidP="002960C5">
            <w:pPr>
              <w:pStyle w:val="a4"/>
              <w:widowControl w:val="0"/>
              <w:numPr>
                <w:ilvl w:val="0"/>
                <w:numId w:val="1"/>
              </w:numPr>
              <w:shd w:val="clear" w:color="auto" w:fill="FFFFFF"/>
              <w:spacing w:before="120"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0"/>
                <w:szCs w:val="20"/>
                <w:lang w:val="en-US" w:eastAsia="en-US"/>
              </w:rPr>
              <w:t>Platts</w:t>
            </w:r>
            <w:r>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val="en-US" w:eastAsia="en-US"/>
              </w:rPr>
              <w:t>ARGUS</w:t>
            </w:r>
            <w:r>
              <w:rPr>
                <w:rFonts w:ascii="Times New Roman" w:eastAsia="Times New Roman" w:hAnsi="Times New Roman" w:cs="Times New Roman"/>
                <w:sz w:val="20"/>
                <w:szCs w:val="20"/>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0766299" w14:textId="77777777" w:rsidR="002B6054" w:rsidRDefault="002B6054">
            <w:pPr>
              <w:spacing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0"/>
                <w:szCs w:val="20"/>
                <w:highlight w:val="white"/>
                <w:lang w:eastAsia="en-US"/>
              </w:rPr>
              <w:t>у тому числі за результатами електронного аукціону</w:t>
            </w:r>
            <w:r>
              <w:rPr>
                <w:rFonts w:ascii="Times New Roman" w:eastAsia="Times New Roman" w:hAnsi="Times New Roman" w:cs="Times New Roman"/>
                <w:sz w:val="20"/>
                <w:szCs w:val="20"/>
                <w:highlight w:val="white"/>
                <w:lang w:eastAsia="en-US"/>
              </w:rPr>
              <w:t>, к</w:t>
            </w:r>
            <w:r>
              <w:rPr>
                <w:rFonts w:ascii="Times New Roman" w:eastAsia="Times New Roman" w:hAnsi="Times New Roman" w:cs="Times New Roman"/>
                <w:sz w:val="20"/>
                <w:szCs w:val="20"/>
                <w:lang w:eastAsia="en-US"/>
              </w:rPr>
              <w:t xml:space="preserve">рім випадків визначених положеннями </w:t>
            </w:r>
            <w:r>
              <w:rPr>
                <w:rFonts w:ascii="Times New Roman" w:eastAsia="Times New Roman" w:hAnsi="Times New Roman" w:cs="Times New Roman"/>
                <w:sz w:val="20"/>
                <w:szCs w:val="20"/>
                <w:lang w:eastAsia="en-US"/>
              </w:rPr>
              <w:lastRenderedPageBreak/>
              <w:t>статті 41 Закону України «Про публічні закупівлі» та випадків визначених положеннями Постанови КМУ № 1178.</w:t>
            </w:r>
          </w:p>
        </w:tc>
        <w:tc>
          <w:tcPr>
            <w:tcW w:w="4814" w:type="dxa"/>
            <w:tcBorders>
              <w:top w:val="single" w:sz="4" w:space="0" w:color="auto"/>
              <w:left w:val="single" w:sz="4" w:space="0" w:color="auto"/>
              <w:bottom w:val="single" w:sz="4" w:space="0" w:color="auto"/>
              <w:right w:val="single" w:sz="4" w:space="0" w:color="auto"/>
            </w:tcBorders>
            <w:vAlign w:val="center"/>
            <w:hideMark/>
          </w:tcPr>
          <w:p w14:paraId="48B1482C" w14:textId="77777777" w:rsidR="002B6054" w:rsidRDefault="002B6054">
            <w:pPr>
              <w:widowControl w:val="0"/>
              <w:spacing w:line="240" w:lineRule="auto"/>
              <w:jc w:val="both"/>
              <w:rPr>
                <w:rFonts w:ascii="Times New Roman" w:eastAsia="Times New Roman" w:hAnsi="Times New Roman" w:cs="Times New Roman"/>
                <w:color w:val="00B050"/>
                <w:sz w:val="20"/>
                <w:szCs w:val="20"/>
                <w:highlight w:val="white"/>
                <w:lang w:eastAsia="en-US"/>
              </w:rPr>
            </w:pPr>
            <w:r>
              <w:rPr>
                <w:rFonts w:ascii="Times New Roman" w:eastAsia="Times New Roman" w:hAnsi="Times New Roman" w:cs="Times New Roman"/>
                <w:color w:val="00B050"/>
                <w:sz w:val="20"/>
                <w:szCs w:val="20"/>
                <w:highlight w:val="white"/>
                <w:lang w:eastAsia="en-US"/>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42A897D" w14:textId="77777777" w:rsidR="002B6054" w:rsidRDefault="002B6054">
            <w:pPr>
              <w:widowControl w:val="0"/>
              <w:spacing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E96184" w14:textId="77777777" w:rsidR="002B6054" w:rsidRDefault="002B6054">
            <w:pPr>
              <w:widowControl w:val="0"/>
              <w:spacing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Істотні умови договору не можуть змінюватися після його підписання до виконання </w:t>
            </w:r>
            <w:proofErr w:type="spellStart"/>
            <w:r>
              <w:rPr>
                <w:rFonts w:ascii="Times New Roman" w:eastAsia="Times New Roman" w:hAnsi="Times New Roman" w:cs="Times New Roman"/>
                <w:sz w:val="20"/>
                <w:szCs w:val="20"/>
                <w:lang w:eastAsia="en-US"/>
              </w:rPr>
              <w:t>зобов»язань</w:t>
            </w:r>
            <w:proofErr w:type="spellEnd"/>
            <w:r>
              <w:rPr>
                <w:rFonts w:ascii="Times New Roman" w:eastAsia="Times New Roman" w:hAnsi="Times New Roman" w:cs="Times New Roman"/>
                <w:sz w:val="20"/>
                <w:szCs w:val="20"/>
                <w:lang w:eastAsia="en-US"/>
              </w:rPr>
              <w:t xml:space="preserve"> сторонами в повному обсязі, крім випадків: </w:t>
            </w:r>
          </w:p>
          <w:p w14:paraId="5A4EEE60"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зменшення обсягів закупівлі, зокрема з урахуванням фактичного обсягу видатків замовника;</w:t>
            </w:r>
          </w:p>
          <w:p w14:paraId="211BC898"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highlight w:val="cyan"/>
                <w:lang w:eastAsia="en-US"/>
              </w:rPr>
            </w:pPr>
            <w:r>
              <w:rPr>
                <w:rFonts w:ascii="Times New Roman" w:eastAsia="Times New Roman" w:hAnsi="Times New Roman" w:cs="Times New Roman"/>
                <w:sz w:val="20"/>
                <w:szCs w:val="20"/>
                <w:highlight w:val="cyan"/>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0"/>
                <w:szCs w:val="20"/>
                <w:highlight w:val="cyan"/>
                <w:lang w:eastAsia="en-US"/>
              </w:rPr>
              <w:t>пропорційно</w:t>
            </w:r>
            <w:proofErr w:type="spellEnd"/>
            <w:r>
              <w:rPr>
                <w:rFonts w:ascii="Times New Roman" w:eastAsia="Times New Roman" w:hAnsi="Times New Roman" w:cs="Times New Roman"/>
                <w:sz w:val="20"/>
                <w:szCs w:val="20"/>
                <w:highlight w:val="cy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EB4264"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795EC1A1"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продовження строку дії договору про закупівлю та строку виконання </w:t>
            </w:r>
            <w:proofErr w:type="spellStart"/>
            <w:r>
              <w:rPr>
                <w:rFonts w:ascii="Times New Roman" w:eastAsia="Times New Roman" w:hAnsi="Times New Roman" w:cs="Times New Roman"/>
                <w:sz w:val="20"/>
                <w:szCs w:val="20"/>
                <w:lang w:eastAsia="en-US"/>
              </w:rPr>
              <w:t>зобов»язань</w:t>
            </w:r>
            <w:proofErr w:type="spellEnd"/>
            <w:r>
              <w:rPr>
                <w:rFonts w:ascii="Times New Roman" w:eastAsia="Times New Roman" w:hAnsi="Times New Roman" w:cs="Times New Roman"/>
                <w:sz w:val="20"/>
                <w:szCs w:val="20"/>
                <w:lang w:eastAsia="en-US"/>
              </w:rPr>
              <w:t xml:space="preserve"> щодо виконання робіт у разі виникнення документально підтверджених </w:t>
            </w:r>
            <w:proofErr w:type="spellStart"/>
            <w:r>
              <w:rPr>
                <w:rFonts w:ascii="Times New Roman" w:eastAsia="Times New Roman" w:hAnsi="Times New Roman" w:cs="Times New Roman"/>
                <w:sz w:val="20"/>
                <w:szCs w:val="20"/>
                <w:lang w:eastAsia="en-US"/>
              </w:rPr>
              <w:t>об»єктивних</w:t>
            </w:r>
            <w:proofErr w:type="spellEnd"/>
            <w:r>
              <w:rPr>
                <w:rFonts w:ascii="Times New Roman" w:eastAsia="Times New Roman" w:hAnsi="Times New Roman" w:cs="Times New Roman"/>
                <w:sz w:val="20"/>
                <w:szCs w:val="20"/>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372C62"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погодження зміни ціни в договорі про </w:t>
            </w:r>
            <w:r>
              <w:rPr>
                <w:rFonts w:ascii="Times New Roman" w:eastAsia="Times New Roman" w:hAnsi="Times New Roman" w:cs="Times New Roman"/>
                <w:sz w:val="20"/>
                <w:szCs w:val="20"/>
                <w:lang w:eastAsia="en-US"/>
              </w:rPr>
              <w:lastRenderedPageBreak/>
              <w:t>закупівлю в бік зменшення ( без зміни кількості (обсягу) та якості робіт);</w:t>
            </w:r>
          </w:p>
          <w:p w14:paraId="36AE7ED9" w14:textId="77777777" w:rsidR="002B6054" w:rsidRDefault="002B6054" w:rsidP="002960C5">
            <w:pPr>
              <w:pStyle w:val="a4"/>
              <w:widowControl w:val="0"/>
              <w:numPr>
                <w:ilvl w:val="0"/>
                <w:numId w:val="1"/>
              </w:numPr>
              <w:spacing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зміни ціни в договорі про закупівлю у </w:t>
            </w:r>
            <w:proofErr w:type="spellStart"/>
            <w:r>
              <w:rPr>
                <w:rFonts w:ascii="Times New Roman" w:eastAsia="Times New Roman" w:hAnsi="Times New Roman" w:cs="Times New Roman"/>
                <w:sz w:val="20"/>
                <w:szCs w:val="20"/>
                <w:lang w:eastAsia="en-US"/>
              </w:rPr>
              <w:t>зв»язку</w:t>
            </w:r>
            <w:proofErr w:type="spellEnd"/>
            <w:r>
              <w:rPr>
                <w:rFonts w:ascii="Times New Roman" w:eastAsia="Times New Roman" w:hAnsi="Times New Roman" w:cs="Times New Roman"/>
                <w:sz w:val="20"/>
                <w:szCs w:val="20"/>
                <w:lang w:eastAsia="en-US"/>
              </w:rPr>
              <w:t xml:space="preserve"> зі зміною ставок податків і зборів та /або зміною умов щодо надання пільг з оподаткування – </w:t>
            </w:r>
            <w:proofErr w:type="spellStart"/>
            <w:r>
              <w:rPr>
                <w:rFonts w:ascii="Times New Roman" w:eastAsia="Times New Roman" w:hAnsi="Times New Roman" w:cs="Times New Roman"/>
                <w:sz w:val="20"/>
                <w:szCs w:val="20"/>
                <w:lang w:eastAsia="en-US"/>
              </w:rPr>
              <w:t>пропорційно</w:t>
            </w:r>
            <w:proofErr w:type="spellEnd"/>
            <w:r>
              <w:rPr>
                <w:rFonts w:ascii="Times New Roman" w:eastAsia="Times New Roman" w:hAnsi="Times New Roman" w:cs="Times New Roman"/>
                <w:sz w:val="20"/>
                <w:szCs w:val="20"/>
                <w:lang w:eastAsia="en-US"/>
              </w:rPr>
              <w:t xml:space="preserve"> до зміни таких ставок та /або пільг з оподаткування.</w:t>
            </w:r>
          </w:p>
          <w:p w14:paraId="5F451D1A" w14:textId="77777777" w:rsidR="002B6054" w:rsidRDefault="002B6054" w:rsidP="002960C5">
            <w:pPr>
              <w:pStyle w:val="a4"/>
              <w:widowControl w:val="0"/>
              <w:numPr>
                <w:ilvl w:val="0"/>
                <w:numId w:val="1"/>
              </w:numPr>
              <w:shd w:val="clear" w:color="auto" w:fill="FFFFFF"/>
              <w:spacing w:before="120" w:line="252"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0"/>
                <w:szCs w:val="20"/>
                <w:lang w:val="en-US" w:eastAsia="en-US"/>
              </w:rPr>
              <w:t>Platts</w:t>
            </w:r>
            <w:r>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val="en-US" w:eastAsia="en-US"/>
              </w:rPr>
              <w:t>ARGUS</w:t>
            </w:r>
            <w:r>
              <w:rPr>
                <w:rFonts w:ascii="Times New Roman" w:eastAsia="Times New Roman" w:hAnsi="Times New Roman" w:cs="Times New Roman"/>
                <w:sz w:val="20"/>
                <w:szCs w:val="20"/>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97A5937" w14:textId="77777777" w:rsidR="002B6054" w:rsidRDefault="002B6054" w:rsidP="002960C5">
            <w:pPr>
              <w:pStyle w:val="a4"/>
              <w:widowControl w:val="0"/>
              <w:numPr>
                <w:ilvl w:val="0"/>
                <w:numId w:val="1"/>
              </w:numPr>
              <w:shd w:val="clear" w:color="auto" w:fill="FFFFFF"/>
              <w:spacing w:before="120" w:line="252" w:lineRule="auto"/>
              <w:jc w:val="both"/>
              <w:rPr>
                <w:rFonts w:ascii="Times New Roman" w:eastAsia="Times New Roman" w:hAnsi="Times New Roman" w:cs="Times New Roman"/>
                <w:sz w:val="20"/>
                <w:szCs w:val="20"/>
                <w:highlight w:val="cyan"/>
                <w:lang w:eastAsia="en-US"/>
              </w:rPr>
            </w:pPr>
            <w:r>
              <w:rPr>
                <w:rFonts w:ascii="Times New Roman" w:eastAsia="Times New Roman" w:hAnsi="Times New Roman" w:cs="Times New Roman"/>
                <w:sz w:val="20"/>
                <w:szCs w:val="20"/>
                <w:highlight w:val="cyan"/>
                <w:lang w:eastAsia="en-US"/>
              </w:rPr>
              <w:t>зміни умов у зв’язку із застосуванням положень частини шостої статті 41 Закону;</w:t>
            </w:r>
          </w:p>
          <w:p w14:paraId="65BD8CF6" w14:textId="77777777" w:rsidR="002B6054" w:rsidRDefault="002B6054" w:rsidP="002960C5">
            <w:pPr>
              <w:pStyle w:val="a4"/>
              <w:widowControl w:val="0"/>
              <w:numPr>
                <w:ilvl w:val="0"/>
                <w:numId w:val="1"/>
              </w:numPr>
              <w:shd w:val="clear" w:color="auto" w:fill="FFFFFF"/>
              <w:spacing w:before="120" w:line="252" w:lineRule="auto"/>
              <w:jc w:val="both"/>
              <w:rPr>
                <w:rFonts w:ascii="Times New Roman" w:eastAsia="Times New Roman" w:hAnsi="Times New Roman" w:cs="Times New Roman"/>
                <w:sz w:val="20"/>
                <w:szCs w:val="20"/>
                <w:highlight w:val="cyan"/>
                <w:lang w:eastAsia="en-US"/>
              </w:rPr>
            </w:pPr>
            <w:r>
              <w:rPr>
                <w:rFonts w:ascii="Times New Roman" w:eastAsia="Times New Roman" w:hAnsi="Times New Roman" w:cs="Times New Roman"/>
                <w:sz w:val="20"/>
                <w:szCs w:val="20"/>
                <w:highlight w:val="cyan"/>
                <w:lang w:eastAsia="en-US"/>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D5AE7B" w14:textId="77777777" w:rsidR="002B6054" w:rsidRDefault="002B6054">
            <w:pPr>
              <w:spacing w:line="240" w:lineRule="auto"/>
              <w:jc w:val="center"/>
              <w:rPr>
                <w:rFonts w:ascii="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0"/>
                <w:szCs w:val="20"/>
                <w:highlight w:val="white"/>
                <w:lang w:eastAsia="en-US"/>
              </w:rPr>
              <w:t>у тому числі за результатами електронного аукціону</w:t>
            </w:r>
            <w:r>
              <w:rPr>
                <w:rFonts w:ascii="Times New Roman" w:eastAsia="Times New Roman" w:hAnsi="Times New Roman" w:cs="Times New Roman"/>
                <w:sz w:val="20"/>
                <w:szCs w:val="20"/>
                <w:highlight w:val="white"/>
                <w:lang w:eastAsia="en-US"/>
              </w:rPr>
              <w:t>, к</w:t>
            </w:r>
            <w:r>
              <w:rPr>
                <w:rFonts w:ascii="Times New Roman" w:eastAsia="Times New Roman" w:hAnsi="Times New Roman" w:cs="Times New Roman"/>
                <w:sz w:val="20"/>
                <w:szCs w:val="20"/>
                <w:lang w:eastAsia="en-US"/>
              </w:rPr>
              <w:t>рім випадків визначених положеннями статті 41 Закону України «Про публічні закупівлі» та випадків визначених положеннями Постанови КМУ № 1178.</w:t>
            </w:r>
          </w:p>
        </w:tc>
      </w:tr>
      <w:tr w:rsidR="002B6054" w14:paraId="358B8D71"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5FDCD2B0" w14:textId="77777777" w:rsidR="002B6054" w:rsidRDefault="002B6054">
            <w:pPr>
              <w:spacing w:line="240" w:lineRule="auto"/>
              <w:jc w:val="center"/>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2.Розділ 6. Результати торгів та укладення договору про закупівлю,  пункт 5 Забезпечення виконання договору про закупівлю</w:t>
            </w:r>
          </w:p>
        </w:tc>
      </w:tr>
      <w:tr w:rsidR="002B6054" w14:paraId="1A3347A7" w14:textId="77777777" w:rsidTr="002B6054">
        <w:tc>
          <w:tcPr>
            <w:tcW w:w="5103" w:type="dxa"/>
            <w:tcBorders>
              <w:top w:val="single" w:sz="4" w:space="0" w:color="auto"/>
              <w:left w:val="single" w:sz="4" w:space="0" w:color="auto"/>
              <w:bottom w:val="single" w:sz="4" w:space="0" w:color="auto"/>
              <w:right w:val="single" w:sz="4" w:space="0" w:color="auto"/>
            </w:tcBorders>
            <w:hideMark/>
          </w:tcPr>
          <w:p w14:paraId="45BE0A48" w14:textId="77777777" w:rsidR="002B6054" w:rsidRDefault="002B6054">
            <w:pPr>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Забезпечення виконання договору про закупівлю не вимагається.</w:t>
            </w:r>
          </w:p>
        </w:tc>
        <w:tc>
          <w:tcPr>
            <w:tcW w:w="4814" w:type="dxa"/>
            <w:tcBorders>
              <w:top w:val="single" w:sz="4" w:space="0" w:color="auto"/>
              <w:left w:val="single" w:sz="4" w:space="0" w:color="auto"/>
              <w:bottom w:val="single" w:sz="4" w:space="0" w:color="auto"/>
              <w:right w:val="single" w:sz="4" w:space="0" w:color="auto"/>
            </w:tcBorders>
            <w:hideMark/>
          </w:tcPr>
          <w:p w14:paraId="269D4B04"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Переможець завантажує через електронну систему </w:t>
            </w:r>
            <w:proofErr w:type="spellStart"/>
            <w:r>
              <w:rPr>
                <w:rFonts w:ascii="Times New Roman" w:eastAsia="Times New Roman" w:hAnsi="Times New Roman" w:cs="Times New Roman"/>
                <w:color w:val="000000" w:themeColor="text1"/>
                <w:sz w:val="20"/>
                <w:szCs w:val="20"/>
                <w:highlight w:val="cyan"/>
                <w:lang w:eastAsia="en-US"/>
              </w:rPr>
              <w:t>закупівель</w:t>
            </w:r>
            <w:proofErr w:type="spellEnd"/>
            <w:r>
              <w:rPr>
                <w:rFonts w:ascii="Times New Roman" w:eastAsia="Times New Roman" w:hAnsi="Times New Roman" w:cs="Times New Roman"/>
                <w:color w:val="000000" w:themeColor="text1"/>
                <w:sz w:val="20"/>
                <w:szCs w:val="20"/>
                <w:highlight w:val="cyan"/>
                <w:lang w:eastAsia="en-US"/>
              </w:rPr>
              <w:t xml:space="preserve"> протягом 5 календарних днів з для оприлюднення повідомлення про намір укласти з ним договір, забезпечення виконання договору у вигляді електронної страхової гарантії але в будь-якому випадку не пізніше дати укладення договору про закупівлю. Розмір забезпечення виконання договору про закупівлю складає 3% (відсотка) вартості договору про закупівлю. Строк дії забезпечення виконання умов договору становить не менше строку дії договору про закупівлю. Гарантія надається: </w:t>
            </w:r>
            <w:r>
              <w:rPr>
                <w:rFonts w:ascii="Times New Roman" w:eastAsia="Times New Roman" w:hAnsi="Times New Roman" w:cs="Times New Roman"/>
                <w:b/>
                <w:color w:val="000000" w:themeColor="text1"/>
                <w:sz w:val="20"/>
                <w:szCs w:val="20"/>
                <w:highlight w:val="cyan"/>
                <w:lang w:eastAsia="en-US"/>
              </w:rPr>
              <w:t>Відділу капітального будівництва, комунальної власності та житлово-комунального господарства Сквирської міської ради</w:t>
            </w:r>
            <w:r>
              <w:rPr>
                <w:rFonts w:ascii="Times New Roman" w:eastAsia="Times New Roman" w:hAnsi="Times New Roman" w:cs="Times New Roman"/>
                <w:color w:val="000000" w:themeColor="text1"/>
                <w:sz w:val="20"/>
                <w:szCs w:val="20"/>
                <w:highlight w:val="cyan"/>
                <w:lang w:eastAsia="en-US"/>
              </w:rPr>
              <w:t xml:space="preserve">, Переможець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електронного цифрового підпису уповноваженої на підписання особи та електронної цифрової печатки фінансової установи (у розширенні *.р7s). через електронну </w:t>
            </w:r>
            <w:r>
              <w:rPr>
                <w:rFonts w:ascii="Times New Roman" w:eastAsia="Times New Roman" w:hAnsi="Times New Roman" w:cs="Times New Roman"/>
                <w:color w:val="000000" w:themeColor="text1"/>
                <w:sz w:val="20"/>
                <w:szCs w:val="20"/>
                <w:highlight w:val="cyan"/>
                <w:lang w:eastAsia="en-US"/>
              </w:rPr>
              <w:lastRenderedPageBreak/>
              <w:t xml:space="preserve">систему </w:t>
            </w:r>
            <w:proofErr w:type="spellStart"/>
            <w:r>
              <w:rPr>
                <w:rFonts w:ascii="Times New Roman" w:eastAsia="Times New Roman" w:hAnsi="Times New Roman" w:cs="Times New Roman"/>
                <w:color w:val="000000" w:themeColor="text1"/>
                <w:sz w:val="20"/>
                <w:szCs w:val="20"/>
                <w:highlight w:val="cyan"/>
                <w:lang w:eastAsia="en-US"/>
              </w:rPr>
              <w:t>закупівель</w:t>
            </w:r>
            <w:proofErr w:type="spellEnd"/>
            <w:r>
              <w:rPr>
                <w:rFonts w:ascii="Times New Roman" w:eastAsia="Times New Roman" w:hAnsi="Times New Roman" w:cs="Times New Roman"/>
                <w:color w:val="000000" w:themeColor="text1"/>
                <w:sz w:val="20"/>
                <w:szCs w:val="20"/>
                <w:highlight w:val="cyan"/>
                <w:lang w:eastAsia="en-US"/>
              </w:rPr>
              <w:t>,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7B53B0A4"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За умови, шо надана страхова гарантія підписана не керівником (директором, головою правління), Переможець повинен надати через електронну систему </w:t>
            </w:r>
            <w:proofErr w:type="spellStart"/>
            <w:r>
              <w:rPr>
                <w:rFonts w:ascii="Times New Roman" w:eastAsia="Times New Roman" w:hAnsi="Times New Roman" w:cs="Times New Roman"/>
                <w:color w:val="000000" w:themeColor="text1"/>
                <w:sz w:val="20"/>
                <w:szCs w:val="20"/>
                <w:highlight w:val="cyan"/>
                <w:lang w:eastAsia="en-US"/>
              </w:rPr>
              <w:t>закупівель</w:t>
            </w:r>
            <w:proofErr w:type="spellEnd"/>
            <w:r>
              <w:rPr>
                <w:rFonts w:ascii="Times New Roman" w:eastAsia="Times New Roman" w:hAnsi="Times New Roman" w:cs="Times New Roman"/>
                <w:color w:val="000000" w:themeColor="text1"/>
                <w:sz w:val="20"/>
                <w:szCs w:val="20"/>
                <w:highlight w:val="cyan"/>
                <w:lang w:eastAsia="en-US"/>
              </w:rPr>
              <w:t xml:space="preserve">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КЕІІ печатки фінансової установи, у розширенні р7s.</w:t>
            </w:r>
          </w:p>
          <w:p w14:paraId="54AC7BC3"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Страхова 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договору про закупівлю, та містити інформацію про умови повернення забезпечення виконання договору про закупівлю, з посиланням на відповідні законодавчі норми та з обов'язковим зазначенням номеру та дати оголошення закупівлі, вказаному на офіційному сайті: prozorro.gov.ua. Переможець торгів під час надання забезпечення виконання договору про закупівлю, для підтвердження права Гаранта на здійснення відповідної діяльності, через електронну систему </w:t>
            </w:r>
            <w:proofErr w:type="spellStart"/>
            <w:r>
              <w:rPr>
                <w:rFonts w:ascii="Times New Roman" w:eastAsia="Times New Roman" w:hAnsi="Times New Roman" w:cs="Times New Roman"/>
                <w:color w:val="000000" w:themeColor="text1"/>
                <w:sz w:val="20"/>
                <w:szCs w:val="20"/>
                <w:highlight w:val="cyan"/>
                <w:lang w:eastAsia="en-US"/>
              </w:rPr>
              <w:t>закупівель</w:t>
            </w:r>
            <w:proofErr w:type="spellEnd"/>
            <w:r>
              <w:rPr>
                <w:rFonts w:ascii="Times New Roman" w:eastAsia="Times New Roman" w:hAnsi="Times New Roman" w:cs="Times New Roman"/>
                <w:color w:val="000000" w:themeColor="text1"/>
                <w:sz w:val="20"/>
                <w:szCs w:val="20"/>
                <w:highlight w:val="cyan"/>
                <w:lang w:eastAsia="en-US"/>
              </w:rPr>
              <w:t xml:space="preserve"> надає, також скановані копії наступних документів: свідоцтво про реєстрацію страхової компанії в Державному реєстрі фінансових установ; ліцензію на здійснення страхової діяльності у формі добровільного страхування фінансових ризиків видану </w:t>
            </w:r>
            <w:proofErr w:type="spellStart"/>
            <w:r>
              <w:rPr>
                <w:rFonts w:ascii="Times New Roman" w:eastAsia="Times New Roman" w:hAnsi="Times New Roman" w:cs="Times New Roman"/>
                <w:color w:val="000000" w:themeColor="text1"/>
                <w:sz w:val="20"/>
                <w:szCs w:val="20"/>
                <w:highlight w:val="cyan"/>
                <w:lang w:eastAsia="en-US"/>
              </w:rPr>
              <w:t>Нацкомфінпослуг</w:t>
            </w:r>
            <w:proofErr w:type="spellEnd"/>
            <w:r>
              <w:rPr>
                <w:rFonts w:ascii="Times New Roman" w:eastAsia="Times New Roman" w:hAnsi="Times New Roman" w:cs="Times New Roman"/>
                <w:color w:val="000000" w:themeColor="text1"/>
                <w:sz w:val="20"/>
                <w:szCs w:val="20"/>
                <w:highlight w:val="cyan"/>
                <w:lang w:eastAsia="en-US"/>
              </w:rPr>
              <w:t xml:space="preserve"> або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7814CF2A"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невиконання або неналежного виконання страхувальником умов договору про закупівлю» (далі - «Програма»), складену до «Правил» затверджену Страховиком та зареєстровані (затверджені) </w:t>
            </w:r>
            <w:proofErr w:type="spellStart"/>
            <w:r>
              <w:rPr>
                <w:rFonts w:ascii="Times New Roman" w:eastAsia="Times New Roman" w:hAnsi="Times New Roman" w:cs="Times New Roman"/>
                <w:color w:val="000000" w:themeColor="text1"/>
                <w:sz w:val="20"/>
                <w:szCs w:val="20"/>
                <w:highlight w:val="cyan"/>
                <w:lang w:eastAsia="en-US"/>
              </w:rPr>
              <w:t>Нацкомфінпослуг</w:t>
            </w:r>
            <w:proofErr w:type="spellEnd"/>
            <w:r>
              <w:rPr>
                <w:rFonts w:ascii="Times New Roman" w:eastAsia="Times New Roman" w:hAnsi="Times New Roman" w:cs="Times New Roman"/>
                <w:color w:val="000000" w:themeColor="text1"/>
                <w:sz w:val="20"/>
                <w:szCs w:val="20"/>
                <w:highlight w:val="cyan"/>
                <w:lang w:eastAsia="en-US"/>
              </w:rPr>
              <w:t xml:space="preserve"> чи НБУ. «Правила» мають відповідати наступним критеріям:</w:t>
            </w:r>
          </w:p>
          <w:p w14:paraId="515C6A9A"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а) складені відповідно до конкретного виду добровільного страхування (згідно із Законом України «Про страхування», «Ліцензійними умовами провадження господарської діяльності з надання фінансових послуг (крім професійної діяльності на ринку цінних паперів)».</w:t>
            </w:r>
          </w:p>
          <w:p w14:paraId="617288F5"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Вид страхування має бути чітко визначений у «Правилах» (та у «Програмі») та\або додатках до них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оголошення про проведення спрощеної закупівлі замовника);</w:t>
            </w:r>
          </w:p>
          <w:p w14:paraId="01FD183E"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б) затверджені фінансовою установою (страховою </w:t>
            </w:r>
            <w:r>
              <w:rPr>
                <w:rFonts w:ascii="Times New Roman" w:eastAsia="Times New Roman" w:hAnsi="Times New Roman" w:cs="Times New Roman"/>
                <w:color w:val="000000" w:themeColor="text1"/>
                <w:sz w:val="20"/>
                <w:szCs w:val="20"/>
                <w:highlight w:val="cyan"/>
                <w:lang w:eastAsia="en-US"/>
              </w:rPr>
              <w:lastRenderedPageBreak/>
              <w:t xml:space="preserve">компанією) та зареєстровані (затверджені) </w:t>
            </w:r>
            <w:proofErr w:type="spellStart"/>
            <w:r>
              <w:rPr>
                <w:rFonts w:ascii="Times New Roman" w:eastAsia="Times New Roman" w:hAnsi="Times New Roman" w:cs="Times New Roman"/>
                <w:color w:val="000000" w:themeColor="text1"/>
                <w:sz w:val="20"/>
                <w:szCs w:val="20"/>
                <w:highlight w:val="cyan"/>
                <w:lang w:eastAsia="en-US"/>
              </w:rPr>
              <w:t>Нацкомфінпослуг</w:t>
            </w:r>
            <w:proofErr w:type="spellEnd"/>
            <w:r>
              <w:rPr>
                <w:rFonts w:ascii="Times New Roman" w:eastAsia="Times New Roman" w:hAnsi="Times New Roman" w:cs="Times New Roman"/>
                <w:color w:val="000000" w:themeColor="text1"/>
                <w:sz w:val="20"/>
                <w:szCs w:val="20"/>
                <w:highlight w:val="cyan"/>
                <w:lang w:eastAsia="en-US"/>
              </w:rPr>
              <w:t xml:space="preserve"> чи НБУ (як самі «Правила» так і витяги та додатки до них);</w:t>
            </w:r>
          </w:p>
          <w:p w14:paraId="6597B1F3"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в) підтверджують право гарантування та укладення з боку страховика договорів добровільного страхування «фінансового ризику невиконання або неналежного виконання умов договору про закупівлю»;</w:t>
            </w:r>
          </w:p>
          <w:p w14:paraId="0792B6A9"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 г) підтверджують обов'язок страховика відшкодовувати страхові ризики, що можуть виникнути внаслідок «невиконання (неналежного виконання) страхувальником умов договору про закупівлю».</w:t>
            </w:r>
          </w:p>
          <w:p w14:paraId="227633C8"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В наданій страховій гарантії обов’язкове посилання на пункт, частину, розділ «Правил», що підтверджують обов'язок відшкодування вищезазначеного ризику (ризиків).</w:t>
            </w:r>
          </w:p>
          <w:p w14:paraId="2BAD56F3"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Зокрема, «страхова гарантія» обов'язково повинна містити такі реквізити: назву документа - «страхова гарантія»; номер, дату та місце складання; повну назву, код ЄДРПОУ, юридичну та фактичну адресу принципала (страхувальника), його банківські реквізити. Для принципала (страхувальника) фізичної особи, у </w:t>
            </w:r>
            <w:proofErr w:type="spellStart"/>
            <w:r>
              <w:rPr>
                <w:rFonts w:ascii="Times New Roman" w:eastAsia="Times New Roman" w:hAnsi="Times New Roman" w:cs="Times New Roman"/>
                <w:color w:val="000000" w:themeColor="text1"/>
                <w:sz w:val="20"/>
                <w:szCs w:val="20"/>
                <w:highlight w:val="cyan"/>
                <w:lang w:eastAsia="en-US"/>
              </w:rPr>
              <w:t>т.ч</w:t>
            </w:r>
            <w:proofErr w:type="spellEnd"/>
            <w:r>
              <w:rPr>
                <w:rFonts w:ascii="Times New Roman" w:eastAsia="Times New Roman" w:hAnsi="Times New Roman" w:cs="Times New Roman"/>
                <w:color w:val="000000" w:themeColor="text1"/>
                <w:sz w:val="20"/>
                <w:szCs w:val="20"/>
                <w:highlight w:val="cyan"/>
                <w:lang w:eastAsia="en-US"/>
              </w:rPr>
              <w:t xml:space="preserve">. фізичної особи-підприємця - прізвище, ім'я та по батькові, ідентифікаційний номер (РНОКПП). інформацію про адресу реєстрації (місця проживання); суму гарантії (страхова сума) цифрами та словами, назву валюти, в якій надається гарантія, словами, цифровий та літерний код валюти відповідно до Класифікатора; посилання на предмет закупівлі стосовно якого проводиться тендер у відповідності до оголошення про закупівлю, в якому передбачена вимога щодо надання страхової гарантії; назву </w:t>
            </w:r>
            <w:proofErr w:type="spellStart"/>
            <w:r>
              <w:rPr>
                <w:rFonts w:ascii="Times New Roman" w:eastAsia="Times New Roman" w:hAnsi="Times New Roman" w:cs="Times New Roman"/>
                <w:color w:val="000000" w:themeColor="text1"/>
                <w:sz w:val="20"/>
                <w:szCs w:val="20"/>
                <w:highlight w:val="cyan"/>
                <w:lang w:eastAsia="en-US"/>
              </w:rPr>
              <w:t>бенефіціара</w:t>
            </w:r>
            <w:proofErr w:type="spellEnd"/>
            <w:r>
              <w:rPr>
                <w:rFonts w:ascii="Times New Roman" w:eastAsia="Times New Roman" w:hAnsi="Times New Roman" w:cs="Times New Roman"/>
                <w:color w:val="000000" w:themeColor="text1"/>
                <w:sz w:val="20"/>
                <w:szCs w:val="20"/>
                <w:highlight w:val="cyan"/>
                <w:lang w:eastAsia="en-US"/>
              </w:rPr>
              <w:t xml:space="preserve"> (</w:t>
            </w:r>
            <w:proofErr w:type="spellStart"/>
            <w:r>
              <w:rPr>
                <w:rFonts w:ascii="Times New Roman" w:eastAsia="Times New Roman" w:hAnsi="Times New Roman" w:cs="Times New Roman"/>
                <w:color w:val="000000" w:themeColor="text1"/>
                <w:sz w:val="20"/>
                <w:szCs w:val="20"/>
                <w:highlight w:val="cyan"/>
                <w:lang w:eastAsia="en-US"/>
              </w:rPr>
              <w:t>внгодонабувача</w:t>
            </w:r>
            <w:proofErr w:type="spellEnd"/>
            <w:r>
              <w:rPr>
                <w:rFonts w:ascii="Times New Roman" w:eastAsia="Times New Roman" w:hAnsi="Times New Roman" w:cs="Times New Roman"/>
                <w:color w:val="000000" w:themeColor="text1"/>
                <w:sz w:val="20"/>
                <w:szCs w:val="20"/>
                <w:highlight w:val="cyan"/>
                <w:lang w:eastAsia="en-US"/>
              </w:rPr>
              <w:t>), код ЄДРПОУ, юридичну адресу; назву гаранта (страховика), код ЄДРПОУ, Юридичну адресу, банківські реквізити; термін (строк) дії гарантії (період дії страхового захисту); підпис та відбиток печатки страхової компанії; умови, за яких надається право вимагати платіж (страхові ризики); порядок та умови виплати страхового відшкодування.</w:t>
            </w:r>
          </w:p>
          <w:p w14:paraId="33ED7335"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Страхова виплата не може бути меншою ніж страхова сума, до даної виплати не може застосовуватись франшиза, на </w:t>
            </w:r>
            <w:proofErr w:type="spellStart"/>
            <w:r>
              <w:rPr>
                <w:rFonts w:ascii="Times New Roman" w:eastAsia="Times New Roman" w:hAnsi="Times New Roman" w:cs="Times New Roman"/>
                <w:color w:val="000000" w:themeColor="text1"/>
                <w:sz w:val="20"/>
                <w:szCs w:val="20"/>
                <w:highlight w:val="cyan"/>
                <w:lang w:eastAsia="en-US"/>
              </w:rPr>
              <w:t>бенефіціара</w:t>
            </w:r>
            <w:proofErr w:type="spellEnd"/>
            <w:r>
              <w:rPr>
                <w:rFonts w:ascii="Times New Roman" w:eastAsia="Times New Roman" w:hAnsi="Times New Roman" w:cs="Times New Roman"/>
                <w:color w:val="000000" w:themeColor="text1"/>
                <w:sz w:val="20"/>
                <w:szCs w:val="20"/>
                <w:highlight w:val="cyan"/>
                <w:lang w:eastAsia="en-US"/>
              </w:rPr>
              <w:t xml:space="preserve"> не можуть покладатись будь-які витрати пов'язані з отриманням страхової суми в розмірі забезпечення виконання умов договору про закупівлю. Переможець під час укладання договору про закупівлю надає Замовнику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банківської квитанції) шляхом завантаження через електронну систему </w:t>
            </w:r>
            <w:proofErr w:type="spellStart"/>
            <w:r>
              <w:rPr>
                <w:rFonts w:ascii="Times New Roman" w:eastAsia="Times New Roman" w:hAnsi="Times New Roman" w:cs="Times New Roman"/>
                <w:color w:val="000000" w:themeColor="text1"/>
                <w:sz w:val="20"/>
                <w:szCs w:val="20"/>
                <w:highlight w:val="cyan"/>
                <w:lang w:eastAsia="en-US"/>
              </w:rPr>
              <w:t>закупівель</w:t>
            </w:r>
            <w:proofErr w:type="spellEnd"/>
            <w:r>
              <w:rPr>
                <w:rFonts w:ascii="Times New Roman" w:eastAsia="Times New Roman" w:hAnsi="Times New Roman" w:cs="Times New Roman"/>
                <w:color w:val="000000" w:themeColor="text1"/>
                <w:sz w:val="20"/>
                <w:szCs w:val="20"/>
                <w:highlight w:val="cyan"/>
                <w:lang w:eastAsia="en-US"/>
              </w:rPr>
              <w:t xml:space="preserve">.  Положення страхової гарантії повинні відповідати положенням Закону України «Про страхування», «Правилам» добровільного страхування фінансових ризиків, затверджених </w:t>
            </w:r>
            <w:proofErr w:type="spellStart"/>
            <w:r>
              <w:rPr>
                <w:rFonts w:ascii="Times New Roman" w:eastAsia="Times New Roman" w:hAnsi="Times New Roman" w:cs="Times New Roman"/>
                <w:color w:val="000000" w:themeColor="text1"/>
                <w:sz w:val="20"/>
                <w:szCs w:val="20"/>
                <w:highlight w:val="cyan"/>
                <w:lang w:eastAsia="en-US"/>
              </w:rPr>
              <w:t>Нацкомфінпослуг</w:t>
            </w:r>
            <w:proofErr w:type="spellEnd"/>
            <w:r>
              <w:rPr>
                <w:rFonts w:ascii="Times New Roman" w:eastAsia="Times New Roman" w:hAnsi="Times New Roman" w:cs="Times New Roman"/>
                <w:color w:val="000000" w:themeColor="text1"/>
                <w:sz w:val="20"/>
                <w:szCs w:val="20"/>
                <w:highlight w:val="cyan"/>
                <w:lang w:eastAsia="en-US"/>
              </w:rPr>
              <w:t xml:space="preserve"> чи НБУ, Ліцензійним умовам провадження господарської діяльності з надання фінансових послуг (крім професійної діяльності на ринку цінних паперів) та «Програмі», що повинно </w:t>
            </w:r>
            <w:r>
              <w:rPr>
                <w:rFonts w:ascii="Times New Roman" w:eastAsia="Times New Roman" w:hAnsi="Times New Roman" w:cs="Times New Roman"/>
                <w:color w:val="000000" w:themeColor="text1"/>
                <w:sz w:val="20"/>
                <w:szCs w:val="20"/>
                <w:highlight w:val="cyan"/>
                <w:lang w:eastAsia="en-US"/>
              </w:rPr>
              <w:lastRenderedPageBreak/>
              <w:t xml:space="preserve">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умов виконання договору про закупівлю не можуть містити умов, що суперечать тексту страхової гарантії та будь-яким чином обмежують права </w:t>
            </w:r>
            <w:proofErr w:type="spellStart"/>
            <w:r>
              <w:rPr>
                <w:rFonts w:ascii="Times New Roman" w:eastAsia="Times New Roman" w:hAnsi="Times New Roman" w:cs="Times New Roman"/>
                <w:color w:val="000000" w:themeColor="text1"/>
                <w:sz w:val="20"/>
                <w:szCs w:val="20"/>
                <w:highlight w:val="cyan"/>
                <w:lang w:eastAsia="en-US"/>
              </w:rPr>
              <w:t>бенефіціара</w:t>
            </w:r>
            <w:proofErr w:type="spellEnd"/>
            <w:r>
              <w:rPr>
                <w:rFonts w:ascii="Times New Roman" w:eastAsia="Times New Roman" w:hAnsi="Times New Roman" w:cs="Times New Roman"/>
                <w:color w:val="000000" w:themeColor="text1"/>
                <w:sz w:val="20"/>
                <w:szCs w:val="20"/>
                <w:highlight w:val="cyan"/>
                <w:lang w:eastAsia="en-US"/>
              </w:rPr>
              <w:t>. Надання договору добровільного страхування протягом 5 календарних днів з для оприлюднення повідомлення про намір укласти договір не є обов’язковим, але у разі його не надання з боку Переможця, текст «страхової гарантії» має містити підтвердження щодо відповідності умов страхового договору умовам самої «страхової гарантії», наданої згідно цього договору та вимогам оголошення про проведення строщеної закупівлі замовника.</w:t>
            </w:r>
          </w:p>
          <w:p w14:paraId="3769844F"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Текст «страхової гарантії» «Правил» (та\або витягів чи додатків до них) та «Програми» не можуть містити:</w:t>
            </w:r>
          </w:p>
          <w:p w14:paraId="66058C2F"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умов про зменшення відповідальності гаранта в будь-якому випадку (окрім закінчення строку дії договору страхування фінансового ризику);</w:t>
            </w:r>
          </w:p>
          <w:p w14:paraId="7DDFDDD5"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Pr>
                <w:rFonts w:ascii="Times New Roman" w:eastAsia="Times New Roman" w:hAnsi="Times New Roman" w:cs="Times New Roman"/>
                <w:color w:val="000000" w:themeColor="text1"/>
                <w:sz w:val="20"/>
                <w:szCs w:val="20"/>
                <w:highlight w:val="cyan"/>
                <w:lang w:eastAsia="en-US"/>
              </w:rPr>
              <w:t>Вигодонабувачу</w:t>
            </w:r>
            <w:proofErr w:type="spellEnd"/>
            <w:r>
              <w:rPr>
                <w:rFonts w:ascii="Times New Roman" w:eastAsia="Times New Roman" w:hAnsi="Times New Roman" w:cs="Times New Roman"/>
                <w:color w:val="000000" w:themeColor="text1"/>
                <w:sz w:val="20"/>
                <w:szCs w:val="20"/>
                <w:highlight w:val="cyan"/>
                <w:lang w:eastAsia="en-US"/>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104E30C3"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умов про обов'язкове надання принципалом письмового підтвердження про настання гарантійного випадку і причин його настання;</w:t>
            </w:r>
          </w:p>
          <w:p w14:paraId="22B17066"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умови про припинення зобов'язання гаранта за гарантією у випадку одержання гарантом оригіналу цієї гарантії, про що разом зі страховою Гарантією надає Замовнику Переможець лист-гарантію в довільній формі адресований Замовнику від установи, що видала страхову гарантію.</w:t>
            </w:r>
          </w:p>
          <w:p w14:paraId="0C31BE71"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Ненадання Переможцем будь-якою документу, який передбачений цим пунктом оголошення, або надання його у вигляді, що не відповідає його умовам, буде розцінене Замовником як «ненадання забезпечення виконання умов договору про закупівлю», що призведе до відхилення пропозиції такого Переможця.</w:t>
            </w:r>
          </w:p>
          <w:p w14:paraId="6B63B02B"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Реквізити </w:t>
            </w:r>
            <w:proofErr w:type="spellStart"/>
            <w:r>
              <w:rPr>
                <w:rFonts w:ascii="Times New Roman" w:eastAsia="Times New Roman" w:hAnsi="Times New Roman" w:cs="Times New Roman"/>
                <w:color w:val="000000" w:themeColor="text1"/>
                <w:sz w:val="20"/>
                <w:szCs w:val="20"/>
                <w:highlight w:val="cyan"/>
                <w:lang w:eastAsia="en-US"/>
              </w:rPr>
              <w:t>бенефіціара</w:t>
            </w:r>
            <w:proofErr w:type="spellEnd"/>
            <w:r>
              <w:rPr>
                <w:rFonts w:ascii="Times New Roman" w:eastAsia="Times New Roman" w:hAnsi="Times New Roman" w:cs="Times New Roman"/>
                <w:color w:val="000000" w:themeColor="text1"/>
                <w:sz w:val="20"/>
                <w:szCs w:val="20"/>
                <w:highlight w:val="cyan"/>
                <w:lang w:eastAsia="en-US"/>
              </w:rPr>
              <w:t xml:space="preserve">: </w:t>
            </w:r>
          </w:p>
          <w:p w14:paraId="6A6A4785"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назва: Відділу капітального будівництва, комунальної власності та житлово-комунального господарства Сквирської міської ради;</w:t>
            </w:r>
          </w:p>
          <w:p w14:paraId="0A46BAB9"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Місцезнаходження Замовника: 09001, Україна , Київська обл., Сквира, вул. </w:t>
            </w:r>
            <w:proofErr w:type="spellStart"/>
            <w:r>
              <w:rPr>
                <w:rFonts w:ascii="Times New Roman" w:eastAsia="Times New Roman" w:hAnsi="Times New Roman" w:cs="Times New Roman"/>
                <w:color w:val="000000" w:themeColor="text1"/>
                <w:sz w:val="20"/>
                <w:szCs w:val="20"/>
                <w:highlight w:val="cyan"/>
                <w:lang w:eastAsia="en-US"/>
              </w:rPr>
              <w:t>Болсуновського</w:t>
            </w:r>
            <w:proofErr w:type="spellEnd"/>
            <w:r>
              <w:rPr>
                <w:rFonts w:ascii="Times New Roman" w:eastAsia="Times New Roman" w:hAnsi="Times New Roman" w:cs="Times New Roman"/>
                <w:color w:val="000000" w:themeColor="text1"/>
                <w:sz w:val="20"/>
                <w:szCs w:val="20"/>
                <w:highlight w:val="cyan"/>
                <w:lang w:eastAsia="en-US"/>
              </w:rPr>
              <w:t xml:space="preserve"> Карла, 28, Київська область;</w:t>
            </w:r>
          </w:p>
          <w:p w14:paraId="5675F2EB"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Код ЄДРПОУ: 44153671.</w:t>
            </w:r>
          </w:p>
          <w:p w14:paraId="05F5058E"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Страхова гарантія в обов’язковому порядку повинна містити реквізити банку </w:t>
            </w:r>
            <w:proofErr w:type="spellStart"/>
            <w:r>
              <w:rPr>
                <w:rFonts w:ascii="Times New Roman" w:eastAsia="Times New Roman" w:hAnsi="Times New Roman" w:cs="Times New Roman"/>
                <w:color w:val="000000" w:themeColor="text1"/>
                <w:sz w:val="20"/>
                <w:szCs w:val="20"/>
                <w:highlight w:val="cyan"/>
                <w:lang w:eastAsia="en-US"/>
              </w:rPr>
              <w:t>бенефіціара</w:t>
            </w:r>
            <w:proofErr w:type="spellEnd"/>
            <w:r>
              <w:rPr>
                <w:rFonts w:ascii="Times New Roman" w:eastAsia="Times New Roman" w:hAnsi="Times New Roman" w:cs="Times New Roman"/>
                <w:color w:val="000000" w:themeColor="text1"/>
                <w:sz w:val="20"/>
                <w:szCs w:val="20"/>
                <w:highlight w:val="cyan"/>
                <w:lang w:eastAsia="en-US"/>
              </w:rPr>
              <w:t>, а саме: Державна казначейська служба України, м. Київ, МФО 820172.</w:t>
            </w:r>
          </w:p>
          <w:p w14:paraId="23E2C672"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Замовник повертає забезпечення виконання договору про закупівлю:</w:t>
            </w:r>
          </w:p>
          <w:p w14:paraId="4DE3BD2F"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1) після виконання переможцем процедури закупівлі/спрощеної закупівлі договору про закупівлю;</w:t>
            </w:r>
          </w:p>
          <w:p w14:paraId="34DD8FA3"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lastRenderedPageBreak/>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2DC38B5"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3) у випадках, передбачених статтею 43  Закону «України «Про публічні закупівлі»;</w:t>
            </w:r>
          </w:p>
          <w:p w14:paraId="45783F16"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14:paraId="311905D6"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Пропозиція повинна містити лист від страхової компанії (із зазначенням ідентифікатору закупівлі) щодо досягнення попередньої домовленості про надання такої страхової гарантії.</w:t>
            </w:r>
          </w:p>
          <w:p w14:paraId="2801AA3A"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r>
              <w:rPr>
                <w:rFonts w:ascii="Times New Roman" w:eastAsia="Times New Roman" w:hAnsi="Times New Roman" w:cs="Times New Roman"/>
                <w:color w:val="000000" w:themeColor="text1"/>
                <w:sz w:val="20"/>
                <w:szCs w:val="20"/>
                <w:highlight w:val="cyan"/>
                <w:lang w:eastAsia="en-US"/>
              </w:rPr>
              <w:t>Надана пропозиція повинна містити підтвердження від Учасника щодо розуміння Учасником факту, що у разі зменшення обсягів фінансування та укладення відповідних змін до договору, сума забезпечення виконання договору не зміниться, оскільки формується на підставі суми наданої пропозиції.</w:t>
            </w:r>
          </w:p>
          <w:p w14:paraId="62EC317C" w14:textId="77777777" w:rsidR="002B6054" w:rsidRDefault="002B6054">
            <w:pPr>
              <w:spacing w:line="240" w:lineRule="auto"/>
              <w:jc w:val="center"/>
              <w:rPr>
                <w:rFonts w:ascii="Times New Roman" w:hAnsi="Times New Roman" w:cs="Times New Roman"/>
                <w:sz w:val="20"/>
                <w:szCs w:val="20"/>
                <w:lang w:eastAsia="en-US"/>
              </w:rPr>
            </w:pPr>
            <w:r>
              <w:rPr>
                <w:rFonts w:ascii="Times New Roman" w:eastAsia="Times New Roman" w:hAnsi="Times New Roman" w:cs="Times New Roman"/>
                <w:color w:val="000000" w:themeColor="text1"/>
                <w:sz w:val="20"/>
                <w:szCs w:val="20"/>
                <w:highlight w:val="cyan"/>
                <w:lang w:eastAsia="en-US"/>
              </w:rPr>
              <w:t>Усі витрати, пов'язані з наданням забезпечення виконання договору, здійснюються за рахунок коштів учасника.</w:t>
            </w:r>
          </w:p>
        </w:tc>
      </w:tr>
      <w:tr w:rsidR="002B6054" w14:paraId="79D119EF"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3C5090D5" w14:textId="77777777" w:rsidR="002B6054" w:rsidRDefault="002B6054">
            <w:pPr>
              <w:widowControl w:val="0"/>
              <w:spacing w:line="240" w:lineRule="auto"/>
              <w:ind w:right="120"/>
              <w:jc w:val="both"/>
              <w:rPr>
                <w:rFonts w:ascii="Times New Roman" w:eastAsia="Times New Roman" w:hAnsi="Times New Roman" w:cs="Times New Roman"/>
                <w:b/>
                <w:bCs/>
                <w:color w:val="000000" w:themeColor="text1"/>
                <w:sz w:val="20"/>
                <w:szCs w:val="20"/>
                <w:lang w:eastAsia="en-US"/>
              </w:rPr>
            </w:pPr>
            <w:r>
              <w:rPr>
                <w:rFonts w:ascii="Times New Roman" w:eastAsia="Times New Roman" w:hAnsi="Times New Roman" w:cs="Times New Roman"/>
                <w:b/>
                <w:bCs/>
                <w:color w:val="000000" w:themeColor="text1"/>
                <w:sz w:val="20"/>
                <w:szCs w:val="20"/>
                <w:lang w:eastAsia="en-US"/>
              </w:rPr>
              <w:lastRenderedPageBreak/>
              <w:t xml:space="preserve">Розділ </w:t>
            </w:r>
            <w:r>
              <w:rPr>
                <w:rFonts w:ascii="Times New Roman" w:eastAsia="Times New Roman" w:hAnsi="Times New Roman" w:cs="Times New Roman"/>
                <w:b/>
                <w:bCs/>
                <w:color w:val="000000" w:themeColor="text1"/>
                <w:sz w:val="20"/>
                <w:szCs w:val="20"/>
                <w:lang w:val="en-US" w:eastAsia="en-US"/>
              </w:rPr>
              <w:t>II</w:t>
            </w:r>
            <w:r>
              <w:rPr>
                <w:rFonts w:ascii="Times New Roman" w:eastAsia="Times New Roman" w:hAnsi="Times New Roman" w:cs="Times New Roman"/>
                <w:b/>
                <w:bCs/>
                <w:color w:val="000000" w:themeColor="text1"/>
                <w:sz w:val="20"/>
                <w:szCs w:val="20"/>
                <w:lang w:val="ru-RU" w:eastAsia="en-US"/>
              </w:rPr>
              <w:t xml:space="preserve"> </w:t>
            </w:r>
            <w:r>
              <w:rPr>
                <w:rFonts w:ascii="Times New Roman" w:eastAsia="Times New Roman" w:hAnsi="Times New Roman" w:cs="Times New Roman"/>
                <w:b/>
                <w:bCs/>
                <w:color w:val="000000" w:themeColor="text1"/>
                <w:sz w:val="20"/>
                <w:szCs w:val="20"/>
                <w:lang w:eastAsia="en-US"/>
              </w:rPr>
              <w:t xml:space="preserve">п.1 Наявність обладнання, матеріально-технічної бази та технологій, пп.1.2 </w:t>
            </w:r>
          </w:p>
        </w:tc>
      </w:tr>
      <w:tr w:rsidR="002B6054" w14:paraId="3BA188EC" w14:textId="77777777" w:rsidTr="002B6054">
        <w:tc>
          <w:tcPr>
            <w:tcW w:w="5103" w:type="dxa"/>
            <w:tcBorders>
              <w:top w:val="single" w:sz="4" w:space="0" w:color="auto"/>
              <w:left w:val="single" w:sz="4" w:space="0" w:color="auto"/>
              <w:bottom w:val="single" w:sz="4" w:space="0" w:color="auto"/>
              <w:right w:val="single" w:sz="4" w:space="0" w:color="auto"/>
            </w:tcBorders>
          </w:tcPr>
          <w:p w14:paraId="65DCEEDE"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eastAsia="en-US"/>
              </w:rPr>
              <w:t xml:space="preserve">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 </w:t>
            </w:r>
            <w:proofErr w:type="spellStart"/>
            <w:proofErr w:type="gramStart"/>
            <w:r>
              <w:rPr>
                <w:rFonts w:ascii="Times New Roman" w:eastAsia="Times New Roman" w:hAnsi="Times New Roman" w:cs="Times New Roman"/>
                <w:sz w:val="20"/>
                <w:szCs w:val="20"/>
                <w:lang w:val="ru-RU" w:eastAsia="en-US"/>
              </w:rPr>
              <w:t>Обов»язкова</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вимога</w:t>
            </w:r>
            <w:proofErr w:type="spellEnd"/>
            <w:r>
              <w:rPr>
                <w:rFonts w:ascii="Times New Roman" w:eastAsia="Times New Roman" w:hAnsi="Times New Roman" w:cs="Times New Roman"/>
                <w:sz w:val="20"/>
                <w:szCs w:val="20"/>
                <w:lang w:val="ru-RU" w:eastAsia="en-US"/>
              </w:rPr>
              <w:t xml:space="preserve"> до </w:t>
            </w:r>
            <w:proofErr w:type="spellStart"/>
            <w:r>
              <w:rPr>
                <w:rFonts w:ascii="Times New Roman" w:eastAsia="Times New Roman" w:hAnsi="Times New Roman" w:cs="Times New Roman"/>
                <w:sz w:val="20"/>
                <w:szCs w:val="20"/>
                <w:lang w:val="ru-RU" w:eastAsia="en-US"/>
              </w:rPr>
              <w:t>Учасника</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щодо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наявності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матеріально-технічної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бази</w:t>
            </w:r>
            <w:proofErr w:type="spell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офісу</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складського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приміщення</w:t>
            </w:r>
            <w:proofErr w:type="spellEnd"/>
            <w:r>
              <w:rPr>
                <w:rFonts w:ascii="Times New Roman" w:eastAsia="Times New Roman" w:hAnsi="Times New Roman" w:cs="Times New Roman"/>
                <w:sz w:val="20"/>
                <w:szCs w:val="20"/>
                <w:lang w:val="ru-RU" w:eastAsia="en-US"/>
              </w:rPr>
              <w:t>).</w:t>
            </w:r>
          </w:p>
          <w:p w14:paraId="67C49D07"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Мінімальна</w:t>
            </w:r>
            <w:proofErr w:type="spellEnd"/>
            <w:r>
              <w:rPr>
                <w:rFonts w:ascii="Times New Roman" w:eastAsia="Times New Roman" w:hAnsi="Times New Roman" w:cs="Times New Roman"/>
                <w:sz w:val="20"/>
                <w:szCs w:val="20"/>
                <w:lang w:val="ru-RU" w:eastAsia="en-US"/>
              </w:rPr>
              <w:t xml:space="preserve"> потреба в </w:t>
            </w:r>
            <w:proofErr w:type="spellStart"/>
            <w:r>
              <w:rPr>
                <w:rFonts w:ascii="Times New Roman" w:eastAsia="Times New Roman" w:hAnsi="Times New Roman" w:cs="Times New Roman"/>
                <w:sz w:val="20"/>
                <w:szCs w:val="20"/>
                <w:lang w:val="ru-RU" w:eastAsia="en-US"/>
              </w:rPr>
              <w:t>основних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машинах, </w:t>
            </w:r>
            <w:proofErr w:type="spellStart"/>
            <w:proofErr w:type="gramStart"/>
            <w:r>
              <w:rPr>
                <w:rFonts w:ascii="Times New Roman" w:eastAsia="Times New Roman" w:hAnsi="Times New Roman" w:cs="Times New Roman"/>
                <w:sz w:val="20"/>
                <w:szCs w:val="20"/>
                <w:lang w:val="ru-RU" w:eastAsia="en-US"/>
              </w:rPr>
              <w:t>механізмах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транспортних</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засобах</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обладнанні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необхідні</w:t>
            </w:r>
            <w:proofErr w:type="spellEnd"/>
            <w:r>
              <w:rPr>
                <w:rFonts w:ascii="Times New Roman" w:eastAsia="Times New Roman" w:hAnsi="Times New Roman" w:cs="Times New Roman"/>
                <w:sz w:val="20"/>
                <w:szCs w:val="20"/>
                <w:lang w:val="ru-RU" w:eastAsia="en-US"/>
              </w:rPr>
              <w:t xml:space="preserve"> для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робіт</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закуповуються</w:t>
            </w:r>
            <w:proofErr w:type="spellEnd"/>
            <w:r>
              <w:rPr>
                <w:rFonts w:ascii="Times New Roman" w:eastAsia="Times New Roman" w:hAnsi="Times New Roman" w:cs="Times New Roman"/>
                <w:sz w:val="20"/>
                <w:szCs w:val="20"/>
                <w:lang w:val="ru-RU" w:eastAsia="en-US"/>
              </w:rPr>
              <w:t xml:space="preserve"> :</w:t>
            </w:r>
          </w:p>
          <w:p w14:paraId="7CC90256"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-Кран </w:t>
            </w:r>
            <w:proofErr w:type="spellStart"/>
            <w:r>
              <w:rPr>
                <w:rFonts w:ascii="Times New Roman" w:eastAsia="Times New Roman" w:hAnsi="Times New Roman" w:cs="Times New Roman"/>
                <w:sz w:val="20"/>
                <w:szCs w:val="20"/>
                <w:lang w:val="ru-RU" w:eastAsia="en-US"/>
              </w:rPr>
              <w:t>стріловий</w:t>
            </w:r>
            <w:proofErr w:type="spellEnd"/>
            <w:r>
              <w:rPr>
                <w:rFonts w:ascii="Times New Roman" w:eastAsia="Times New Roman" w:hAnsi="Times New Roman" w:cs="Times New Roman"/>
                <w:sz w:val="20"/>
                <w:szCs w:val="20"/>
                <w:lang w:val="ru-RU" w:eastAsia="en-US"/>
              </w:rPr>
              <w:t xml:space="preserve"> 75 т-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466B938E"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w:t>
            </w:r>
            <w:proofErr w:type="spellStart"/>
            <w:r>
              <w:rPr>
                <w:rFonts w:ascii="Times New Roman" w:eastAsia="Times New Roman" w:hAnsi="Times New Roman" w:cs="Times New Roman"/>
                <w:sz w:val="20"/>
                <w:szCs w:val="20"/>
                <w:lang w:val="ru-RU" w:eastAsia="en-US"/>
              </w:rPr>
              <w:t>екскаватор</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2808813C"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віброущільнювачі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віброплити</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69529BAF"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поливально-мийні</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212B6DF4"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автосамосвал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1A25FA44"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автомобіль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вантажний</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3DFEC743"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компресори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пересувні</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722F36E5"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розчинонасос</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1859DC11"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трансформатор </w:t>
            </w:r>
            <w:proofErr w:type="spellStart"/>
            <w:r>
              <w:rPr>
                <w:rFonts w:ascii="Times New Roman" w:eastAsia="Times New Roman" w:hAnsi="Times New Roman" w:cs="Times New Roman"/>
                <w:sz w:val="20"/>
                <w:szCs w:val="20"/>
                <w:lang w:val="ru-RU" w:eastAsia="en-US"/>
              </w:rPr>
              <w:t>електрозварювальний</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4A5C28CE"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фарборозпилювач</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4C963C41"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електрична</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кутова</w:t>
            </w:r>
            <w:proofErr w:type="spellEnd"/>
            <w:r>
              <w:rPr>
                <w:rFonts w:ascii="Times New Roman" w:eastAsia="Times New Roman" w:hAnsi="Times New Roman" w:cs="Times New Roman"/>
                <w:sz w:val="20"/>
                <w:szCs w:val="20"/>
                <w:lang w:val="ru-RU" w:eastAsia="en-US"/>
              </w:rPr>
              <w:t xml:space="preserve"> машина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3A926626"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електричний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Міксер</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1D65A629"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перфоратор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5FA42B04"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відбійний</w:t>
            </w:r>
            <w:proofErr w:type="spellEnd"/>
            <w:r>
              <w:rPr>
                <w:rFonts w:ascii="Times New Roman" w:eastAsia="Times New Roman" w:hAnsi="Times New Roman" w:cs="Times New Roman"/>
                <w:sz w:val="20"/>
                <w:szCs w:val="20"/>
                <w:lang w:val="ru-RU" w:eastAsia="en-US"/>
              </w:rPr>
              <w:t xml:space="preserve"> молоток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3813142B"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молоток </w:t>
            </w:r>
            <w:proofErr w:type="spellStart"/>
            <w:r>
              <w:rPr>
                <w:rFonts w:ascii="Times New Roman" w:eastAsia="Times New Roman" w:hAnsi="Times New Roman" w:cs="Times New Roman"/>
                <w:sz w:val="20"/>
                <w:szCs w:val="20"/>
                <w:lang w:val="ru-RU" w:eastAsia="en-US"/>
              </w:rPr>
              <w:t>ручний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електричний</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4EF975AF"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шуруповерт </w:t>
            </w:r>
            <w:proofErr w:type="spellStart"/>
            <w:r>
              <w:rPr>
                <w:rFonts w:ascii="Times New Roman" w:eastAsia="Times New Roman" w:hAnsi="Times New Roman" w:cs="Times New Roman"/>
                <w:sz w:val="20"/>
                <w:szCs w:val="20"/>
                <w:lang w:val="ru-RU" w:eastAsia="en-US"/>
              </w:rPr>
              <w:t>електричний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акумуляторний</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5324A007"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сходи </w:t>
            </w:r>
            <w:proofErr w:type="spellStart"/>
            <w:r>
              <w:rPr>
                <w:rFonts w:ascii="Times New Roman" w:eastAsia="Times New Roman" w:hAnsi="Times New Roman" w:cs="Times New Roman"/>
                <w:sz w:val="20"/>
                <w:szCs w:val="20"/>
                <w:lang w:val="ru-RU" w:eastAsia="en-US"/>
              </w:rPr>
              <w:t>інвентарні</w:t>
            </w:r>
            <w:proofErr w:type="spellEnd"/>
            <w:r>
              <w:rPr>
                <w:rFonts w:ascii="Times New Roman" w:eastAsia="Times New Roman" w:hAnsi="Times New Roman" w:cs="Times New Roman"/>
                <w:sz w:val="20"/>
                <w:szCs w:val="20"/>
                <w:lang w:val="ru-RU" w:eastAsia="en-US"/>
              </w:rPr>
              <w:t xml:space="preserve"> Н = 4м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3F1C0422"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lastRenderedPageBreak/>
              <w:t xml:space="preserve"> - сходи </w:t>
            </w:r>
            <w:proofErr w:type="spellStart"/>
            <w:r>
              <w:rPr>
                <w:rFonts w:ascii="Times New Roman" w:eastAsia="Times New Roman" w:hAnsi="Times New Roman" w:cs="Times New Roman"/>
                <w:sz w:val="20"/>
                <w:szCs w:val="20"/>
                <w:lang w:val="ru-RU" w:eastAsia="en-US"/>
              </w:rPr>
              <w:t>інвентарні</w:t>
            </w:r>
            <w:proofErr w:type="spellEnd"/>
            <w:r>
              <w:rPr>
                <w:rFonts w:ascii="Times New Roman" w:eastAsia="Times New Roman" w:hAnsi="Times New Roman" w:cs="Times New Roman"/>
                <w:sz w:val="20"/>
                <w:szCs w:val="20"/>
                <w:lang w:val="ru-RU" w:eastAsia="en-US"/>
              </w:rPr>
              <w:t xml:space="preserve"> Н=2м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30D77328"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рівень</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54698119"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лом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6E8A856E"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лопати</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4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532DB5A3"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Для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інформації</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наявність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матеріально-технічної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бази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повинен </w:t>
            </w:r>
            <w:proofErr w:type="spellStart"/>
            <w:r>
              <w:rPr>
                <w:rFonts w:ascii="Times New Roman" w:eastAsia="Times New Roman" w:hAnsi="Times New Roman" w:cs="Times New Roman"/>
                <w:sz w:val="20"/>
                <w:szCs w:val="20"/>
                <w:lang w:val="ru-RU" w:eastAsia="en-US"/>
              </w:rPr>
              <w:t>надати</w:t>
            </w:r>
            <w:proofErr w:type="spellEnd"/>
            <w:r>
              <w:rPr>
                <w:rFonts w:ascii="Times New Roman" w:eastAsia="Times New Roman" w:hAnsi="Times New Roman" w:cs="Times New Roman"/>
                <w:sz w:val="20"/>
                <w:szCs w:val="20"/>
                <w:lang w:val="ru-RU" w:eastAsia="en-US"/>
              </w:rPr>
              <w:t>:</w:t>
            </w:r>
          </w:p>
          <w:p w14:paraId="1B9DFE9E"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зазначеної</w:t>
            </w:r>
            <w:proofErr w:type="spellEnd"/>
            <w:r>
              <w:rPr>
                <w:rFonts w:ascii="Times New Roman" w:eastAsia="Times New Roman" w:hAnsi="Times New Roman" w:cs="Times New Roman"/>
                <w:sz w:val="20"/>
                <w:szCs w:val="20"/>
                <w:lang w:val="ru-RU" w:eastAsia="en-US"/>
              </w:rPr>
              <w:t xml:space="preserve"> в </w:t>
            </w:r>
            <w:proofErr w:type="spellStart"/>
            <w:r>
              <w:rPr>
                <w:rFonts w:ascii="Times New Roman" w:eastAsia="Times New Roman" w:hAnsi="Times New Roman" w:cs="Times New Roman"/>
                <w:sz w:val="20"/>
                <w:szCs w:val="20"/>
                <w:lang w:val="ru-RU" w:eastAsia="en-US"/>
              </w:rPr>
              <w:t>довідці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надає</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посвідчені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w:t>
            </w:r>
            <w:proofErr w:type="spellEnd"/>
            <w:r>
              <w:rPr>
                <w:rFonts w:ascii="Times New Roman" w:eastAsia="Times New Roman" w:hAnsi="Times New Roman" w:cs="Times New Roman"/>
                <w:sz w:val="20"/>
                <w:szCs w:val="20"/>
                <w:lang w:val="ru-RU" w:eastAsia="en-US"/>
              </w:rPr>
              <w:t xml:space="preserve"> до умов </w:t>
            </w:r>
            <w:proofErr w:type="spellStart"/>
            <w:r>
              <w:rPr>
                <w:rFonts w:ascii="Times New Roman" w:eastAsia="Times New Roman" w:hAnsi="Times New Roman" w:cs="Times New Roman"/>
                <w:sz w:val="20"/>
                <w:szCs w:val="20"/>
                <w:lang w:val="ru-RU" w:eastAsia="en-US"/>
              </w:rPr>
              <w:t>оголошення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чи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свідоцтв</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реєстрацію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 та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перебування</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обліку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дорожні</w:t>
            </w:r>
            <w:proofErr w:type="spellEnd"/>
            <w:proofErr w:type="gram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не </w:t>
            </w:r>
            <w:proofErr w:type="spellStart"/>
            <w:r>
              <w:rPr>
                <w:rFonts w:ascii="Times New Roman" w:eastAsia="Times New Roman" w:hAnsi="Times New Roman" w:cs="Times New Roman"/>
                <w:sz w:val="20"/>
                <w:szCs w:val="20"/>
                <w:lang w:val="ru-RU" w:eastAsia="en-US"/>
              </w:rPr>
              <w:t>підлягають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державній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реєстрації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інший</w:t>
            </w:r>
            <w:proofErr w:type="spellEnd"/>
            <w:r>
              <w:rPr>
                <w:rFonts w:ascii="Times New Roman" w:eastAsia="Times New Roman" w:hAnsi="Times New Roman" w:cs="Times New Roman"/>
                <w:sz w:val="20"/>
                <w:szCs w:val="20"/>
                <w:lang w:val="ru-RU" w:eastAsia="en-US"/>
              </w:rPr>
              <w:t xml:space="preserve"> документ,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посвідчує</w:t>
            </w:r>
            <w:proofErr w:type="spellEnd"/>
            <w:r>
              <w:rPr>
                <w:rFonts w:ascii="Times New Roman" w:eastAsia="Times New Roman" w:hAnsi="Times New Roman" w:cs="Times New Roman"/>
                <w:sz w:val="20"/>
                <w:szCs w:val="20"/>
                <w:lang w:val="ru-RU" w:eastAsia="en-US"/>
              </w:rPr>
              <w:t xml:space="preserve"> право </w:t>
            </w:r>
            <w:proofErr w:type="spellStart"/>
            <w:r>
              <w:rPr>
                <w:rFonts w:ascii="Times New Roman" w:eastAsia="Times New Roman" w:hAnsi="Times New Roman" w:cs="Times New Roman"/>
                <w:sz w:val="20"/>
                <w:szCs w:val="20"/>
                <w:lang w:val="ru-RU" w:eastAsia="en-US"/>
              </w:rPr>
              <w:t>власності</w:t>
            </w:r>
            <w:proofErr w:type="spell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обліку</w:t>
            </w:r>
            <w:proofErr w:type="spellEnd"/>
            <w:r>
              <w:rPr>
                <w:rFonts w:ascii="Times New Roman" w:eastAsia="Times New Roman" w:hAnsi="Times New Roman" w:cs="Times New Roman"/>
                <w:sz w:val="20"/>
                <w:szCs w:val="20"/>
                <w:lang w:val="ru-RU" w:eastAsia="en-US"/>
              </w:rPr>
              <w:t xml:space="preserve">)-  </w:t>
            </w:r>
            <w:r>
              <w:rPr>
                <w:rFonts w:ascii="Times New Roman" w:eastAsia="Times New Roman" w:hAnsi="Times New Roman" w:cs="Times New Roman"/>
                <w:b/>
                <w:bCs/>
                <w:sz w:val="20"/>
                <w:szCs w:val="20"/>
                <w:u w:val="single"/>
                <w:lang w:val="ru-RU" w:eastAsia="en-US"/>
              </w:rPr>
              <w:t xml:space="preserve">за </w:t>
            </w:r>
            <w:proofErr w:type="spellStart"/>
            <w:r>
              <w:rPr>
                <w:rFonts w:ascii="Times New Roman" w:eastAsia="Times New Roman" w:hAnsi="Times New Roman" w:cs="Times New Roman"/>
                <w:b/>
                <w:bCs/>
                <w:sz w:val="20"/>
                <w:szCs w:val="20"/>
                <w:u w:val="single"/>
                <w:lang w:val="ru-RU" w:eastAsia="en-US"/>
              </w:rPr>
              <w:t>підписом</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керівника</w:t>
            </w:r>
            <w:proofErr w:type="spellEnd"/>
            <w:r>
              <w:rPr>
                <w:rFonts w:ascii="Times New Roman" w:eastAsia="Times New Roman" w:hAnsi="Times New Roman" w:cs="Times New Roman"/>
                <w:b/>
                <w:bCs/>
                <w:sz w:val="20"/>
                <w:szCs w:val="20"/>
                <w:u w:val="single"/>
                <w:lang w:val="ru-RU" w:eastAsia="en-US"/>
              </w:rPr>
              <w:t xml:space="preserve"> та головного бухгалтера/бухгалтера оборотно-</w:t>
            </w:r>
            <w:proofErr w:type="spellStart"/>
            <w:r>
              <w:rPr>
                <w:rFonts w:ascii="Times New Roman" w:eastAsia="Times New Roman" w:hAnsi="Times New Roman" w:cs="Times New Roman"/>
                <w:b/>
                <w:bCs/>
                <w:sz w:val="20"/>
                <w:szCs w:val="20"/>
                <w:u w:val="single"/>
                <w:lang w:val="ru-RU" w:eastAsia="en-US"/>
              </w:rPr>
              <w:t>сальдові</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відомості</w:t>
            </w:r>
            <w:proofErr w:type="spellEnd"/>
            <w:r>
              <w:rPr>
                <w:rFonts w:ascii="Times New Roman" w:eastAsia="Times New Roman" w:hAnsi="Times New Roman" w:cs="Times New Roman"/>
                <w:b/>
                <w:bCs/>
                <w:sz w:val="20"/>
                <w:szCs w:val="20"/>
                <w:u w:val="single"/>
                <w:lang w:val="ru-RU" w:eastAsia="en-US"/>
              </w:rPr>
              <w:t xml:space="preserve"> по </w:t>
            </w:r>
            <w:proofErr w:type="spellStart"/>
            <w:r>
              <w:rPr>
                <w:rFonts w:ascii="Times New Roman" w:eastAsia="Times New Roman" w:hAnsi="Times New Roman" w:cs="Times New Roman"/>
                <w:b/>
                <w:bCs/>
                <w:sz w:val="20"/>
                <w:szCs w:val="20"/>
                <w:u w:val="single"/>
                <w:lang w:val="ru-RU" w:eastAsia="en-US"/>
              </w:rPr>
              <w:t>рахункам</w:t>
            </w:r>
            <w:proofErr w:type="spellEnd"/>
            <w:r>
              <w:rPr>
                <w:rFonts w:ascii="Times New Roman" w:eastAsia="Times New Roman" w:hAnsi="Times New Roman" w:cs="Times New Roman"/>
                <w:b/>
                <w:bCs/>
                <w:sz w:val="20"/>
                <w:szCs w:val="20"/>
                <w:u w:val="single"/>
                <w:lang w:val="ru-RU" w:eastAsia="en-US"/>
              </w:rPr>
              <w:t xml:space="preserve"> 10, 11</w:t>
            </w:r>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знаходження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основних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необоротних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активів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включені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учасником</w:t>
            </w:r>
            <w:proofErr w:type="spellEnd"/>
            <w:r>
              <w:rPr>
                <w:rFonts w:ascii="Times New Roman" w:eastAsia="Times New Roman" w:hAnsi="Times New Roman" w:cs="Times New Roman"/>
                <w:sz w:val="20"/>
                <w:szCs w:val="20"/>
                <w:lang w:val="ru-RU" w:eastAsia="en-US"/>
              </w:rPr>
              <w:t xml:space="preserve"> до </w:t>
            </w:r>
            <w:proofErr w:type="spellStart"/>
            <w:r>
              <w:rPr>
                <w:rFonts w:ascii="Times New Roman" w:eastAsia="Times New Roman" w:hAnsi="Times New Roman" w:cs="Times New Roman"/>
                <w:sz w:val="20"/>
                <w:szCs w:val="20"/>
                <w:lang w:val="ru-RU" w:eastAsia="en-US"/>
              </w:rPr>
              <w:t>таблиці</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балансі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учасника</w:t>
            </w:r>
            <w:proofErr w:type="spellEnd"/>
            <w:r>
              <w:rPr>
                <w:rFonts w:ascii="Times New Roman" w:eastAsia="Times New Roman" w:hAnsi="Times New Roman" w:cs="Times New Roman"/>
                <w:sz w:val="20"/>
                <w:szCs w:val="20"/>
                <w:lang w:val="ru-RU" w:eastAsia="en-US"/>
              </w:rPr>
              <w:t>;</w:t>
            </w:r>
          </w:p>
          <w:p w14:paraId="173DA30E"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дорожні</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r>
              <w:rPr>
                <w:rFonts w:ascii="Times New Roman" w:eastAsia="Times New Roman" w:hAnsi="Times New Roman" w:cs="Times New Roman"/>
                <w:b/>
                <w:bCs/>
                <w:sz w:val="20"/>
                <w:szCs w:val="20"/>
                <w:lang w:val="ru-RU" w:eastAsia="en-US"/>
              </w:rPr>
              <w:t xml:space="preserve">не є </w:t>
            </w:r>
            <w:proofErr w:type="spellStart"/>
            <w:r>
              <w:rPr>
                <w:rFonts w:ascii="Times New Roman" w:eastAsia="Times New Roman" w:hAnsi="Times New Roman" w:cs="Times New Roman"/>
                <w:b/>
                <w:bCs/>
                <w:sz w:val="20"/>
                <w:szCs w:val="20"/>
                <w:lang w:val="ru-RU" w:eastAsia="en-US"/>
              </w:rPr>
              <w:t>власністю</w:t>
            </w:r>
            <w:proofErr w:type="spellEnd"/>
            <w:r>
              <w:rPr>
                <w:rFonts w:ascii="Times New Roman" w:eastAsia="Times New Roman" w:hAnsi="Times New Roman" w:cs="Times New Roman"/>
                <w:b/>
                <w:bCs/>
                <w:sz w:val="20"/>
                <w:szCs w:val="20"/>
                <w:lang w:val="ru-RU" w:eastAsia="en-US"/>
              </w:rPr>
              <w:t xml:space="preserve"> </w:t>
            </w:r>
            <w:proofErr w:type="spellStart"/>
            <w:r>
              <w:rPr>
                <w:rFonts w:ascii="Times New Roman" w:eastAsia="Times New Roman" w:hAnsi="Times New Roman" w:cs="Times New Roman"/>
                <w:b/>
                <w:bCs/>
                <w:sz w:val="20"/>
                <w:szCs w:val="20"/>
                <w:lang w:val="ru-RU" w:eastAsia="en-US"/>
              </w:rPr>
              <w:t>учасника</w:t>
            </w:r>
            <w:proofErr w:type="spellEnd"/>
            <w:r>
              <w:rPr>
                <w:rFonts w:ascii="Times New Roman" w:eastAsia="Times New Roman" w:hAnsi="Times New Roman" w:cs="Times New Roman"/>
                <w:b/>
                <w:bCs/>
                <w:sz w:val="20"/>
                <w:szCs w:val="20"/>
                <w:lang w:val="ru-RU" w:eastAsia="en-US"/>
              </w:rPr>
              <w:t xml:space="preserve">, а </w:t>
            </w:r>
            <w:proofErr w:type="spellStart"/>
            <w:r>
              <w:rPr>
                <w:rFonts w:ascii="Times New Roman" w:eastAsia="Times New Roman" w:hAnsi="Times New Roman" w:cs="Times New Roman"/>
                <w:b/>
                <w:bCs/>
                <w:sz w:val="20"/>
                <w:szCs w:val="20"/>
                <w:lang w:val="ru-RU" w:eastAsia="en-US"/>
              </w:rPr>
              <w:t>залучені</w:t>
            </w:r>
            <w:proofErr w:type="spell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договір</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оренди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лізингу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в </w:t>
            </w:r>
            <w:proofErr w:type="spellStart"/>
            <w:r>
              <w:rPr>
                <w:rFonts w:ascii="Times New Roman" w:eastAsia="Times New Roman" w:hAnsi="Times New Roman" w:cs="Times New Roman"/>
                <w:sz w:val="20"/>
                <w:szCs w:val="20"/>
                <w:lang w:val="ru-RU" w:eastAsia="en-US"/>
              </w:rPr>
              <w:t>інший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спосіб</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визначений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законодавством</w:t>
            </w:r>
            <w:proofErr w:type="spellEnd"/>
            <w:r>
              <w:rPr>
                <w:rFonts w:ascii="Times New Roman" w:eastAsia="Times New Roman" w:hAnsi="Times New Roman" w:cs="Times New Roman"/>
                <w:sz w:val="20"/>
                <w:szCs w:val="20"/>
                <w:lang w:val="ru-RU" w:eastAsia="en-US"/>
              </w:rPr>
              <w:t xml:space="preserve">), то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всі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вказані</w:t>
            </w:r>
            <w:proofErr w:type="spellEnd"/>
            <w:r>
              <w:rPr>
                <w:rFonts w:ascii="Times New Roman" w:eastAsia="Times New Roman" w:hAnsi="Times New Roman" w:cs="Times New Roman"/>
                <w:sz w:val="20"/>
                <w:szCs w:val="20"/>
                <w:lang w:val="ru-RU" w:eastAsia="en-US"/>
              </w:rPr>
              <w:t xml:space="preserve"> в </w:t>
            </w:r>
            <w:proofErr w:type="spellStart"/>
            <w:r>
              <w:rPr>
                <w:rFonts w:ascii="Times New Roman" w:eastAsia="Times New Roman" w:hAnsi="Times New Roman" w:cs="Times New Roman"/>
                <w:sz w:val="20"/>
                <w:szCs w:val="20"/>
                <w:lang w:val="ru-RU" w:eastAsia="en-US"/>
              </w:rPr>
              <w:t>довідці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додатково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подаються</w:t>
            </w:r>
            <w:proofErr w:type="spellEnd"/>
            <w:r>
              <w:rPr>
                <w:rFonts w:ascii="Times New Roman" w:eastAsia="Times New Roman" w:hAnsi="Times New Roman" w:cs="Times New Roman"/>
                <w:sz w:val="20"/>
                <w:szCs w:val="20"/>
                <w:lang w:val="ru-RU" w:eastAsia="en-US"/>
              </w:rPr>
              <w:t>:</w:t>
            </w:r>
          </w:p>
          <w:p w14:paraId="32A517A5"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1) </w:t>
            </w:r>
            <w:proofErr w:type="spellStart"/>
            <w:r>
              <w:rPr>
                <w:rFonts w:ascii="Times New Roman" w:eastAsia="Times New Roman" w:hAnsi="Times New Roman" w:cs="Times New Roman"/>
                <w:sz w:val="20"/>
                <w:szCs w:val="20"/>
                <w:lang w:val="ru-RU" w:eastAsia="en-US"/>
              </w:rPr>
              <w:t>завірені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скановані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дійсних</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чинних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протягом</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всього</w:t>
            </w:r>
            <w:proofErr w:type="spellEnd"/>
            <w:r>
              <w:rPr>
                <w:rFonts w:ascii="Times New Roman" w:eastAsia="Times New Roman" w:hAnsi="Times New Roman" w:cs="Times New Roman"/>
                <w:sz w:val="20"/>
                <w:szCs w:val="20"/>
                <w:lang w:val="ru-RU" w:eastAsia="en-US"/>
              </w:rPr>
              <w:t xml:space="preserve"> строку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договору про </w:t>
            </w:r>
            <w:proofErr w:type="spellStart"/>
            <w:r>
              <w:rPr>
                <w:rFonts w:ascii="Times New Roman" w:eastAsia="Times New Roman" w:hAnsi="Times New Roman" w:cs="Times New Roman"/>
                <w:sz w:val="20"/>
                <w:szCs w:val="20"/>
                <w:lang w:val="ru-RU" w:eastAsia="en-US"/>
              </w:rPr>
              <w:t>закупівлю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договорів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оренди</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лізингу</w:t>
            </w:r>
            <w:proofErr w:type="spellEnd"/>
            <w:proofErr w:type="gram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інших</w:t>
            </w:r>
            <w:proofErr w:type="spellEnd"/>
            <w:r>
              <w:rPr>
                <w:rFonts w:ascii="Times New Roman" w:eastAsia="Times New Roman" w:hAnsi="Times New Roman" w:cs="Times New Roman"/>
                <w:sz w:val="20"/>
                <w:szCs w:val="20"/>
                <w:lang w:val="ru-RU" w:eastAsia="en-US"/>
              </w:rPr>
              <w:t xml:space="preserve"> ( договори,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посвідчують</w:t>
            </w:r>
            <w:proofErr w:type="spellEnd"/>
            <w:r>
              <w:rPr>
                <w:rFonts w:ascii="Times New Roman" w:eastAsia="Times New Roman" w:hAnsi="Times New Roman" w:cs="Times New Roman"/>
                <w:sz w:val="20"/>
                <w:szCs w:val="20"/>
                <w:lang w:val="ru-RU" w:eastAsia="en-US"/>
              </w:rPr>
              <w:t xml:space="preserve"> право </w:t>
            </w:r>
            <w:proofErr w:type="spellStart"/>
            <w:r>
              <w:rPr>
                <w:rFonts w:ascii="Times New Roman" w:eastAsia="Times New Roman" w:hAnsi="Times New Roman" w:cs="Times New Roman"/>
                <w:sz w:val="20"/>
                <w:szCs w:val="20"/>
                <w:lang w:val="ru-RU" w:eastAsia="en-US"/>
              </w:rPr>
              <w:t>користування</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всі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вказані</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довідці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надані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учасником</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складі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пропозиції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мають</w:t>
            </w:r>
            <w:proofErr w:type="spellEnd"/>
            <w:r>
              <w:rPr>
                <w:rFonts w:ascii="Times New Roman" w:eastAsia="Times New Roman" w:hAnsi="Times New Roman" w:cs="Times New Roman"/>
                <w:sz w:val="20"/>
                <w:szCs w:val="20"/>
                <w:lang w:val="ru-RU" w:eastAsia="en-US"/>
              </w:rPr>
              <w:t xml:space="preserve"> бути </w:t>
            </w:r>
            <w:proofErr w:type="spellStart"/>
            <w:r>
              <w:rPr>
                <w:rFonts w:ascii="Times New Roman" w:eastAsia="Times New Roman" w:hAnsi="Times New Roman" w:cs="Times New Roman"/>
                <w:sz w:val="20"/>
                <w:szCs w:val="20"/>
                <w:lang w:val="ru-RU" w:eastAsia="en-US"/>
              </w:rPr>
              <w:t>укладені</w:t>
            </w:r>
            <w:proofErr w:type="spellEnd"/>
            <w:r>
              <w:rPr>
                <w:rFonts w:ascii="Times New Roman" w:eastAsia="Times New Roman" w:hAnsi="Times New Roman" w:cs="Times New Roman"/>
                <w:sz w:val="20"/>
                <w:szCs w:val="20"/>
                <w:lang w:val="ru-RU" w:eastAsia="en-US"/>
              </w:rPr>
              <w:t xml:space="preserve"> на строк,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дорівнює</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перевищує</w:t>
            </w:r>
            <w:proofErr w:type="spellEnd"/>
            <w:r>
              <w:rPr>
                <w:rFonts w:ascii="Times New Roman" w:eastAsia="Times New Roman" w:hAnsi="Times New Roman" w:cs="Times New Roman"/>
                <w:sz w:val="20"/>
                <w:szCs w:val="20"/>
                <w:lang w:val="ru-RU" w:eastAsia="en-US"/>
              </w:rPr>
              <w:t xml:space="preserve"> строк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договору про </w:t>
            </w:r>
            <w:proofErr w:type="spellStart"/>
            <w:r>
              <w:rPr>
                <w:rFonts w:ascii="Times New Roman" w:eastAsia="Times New Roman" w:hAnsi="Times New Roman" w:cs="Times New Roman"/>
                <w:sz w:val="20"/>
                <w:szCs w:val="20"/>
                <w:lang w:val="ru-RU" w:eastAsia="en-US"/>
              </w:rPr>
              <w:t>закупівлю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містити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умови</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можливість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його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пролонгації</w:t>
            </w:r>
            <w:proofErr w:type="spellEnd"/>
            <w:r>
              <w:rPr>
                <w:rFonts w:ascii="Times New Roman" w:eastAsia="Times New Roman" w:hAnsi="Times New Roman" w:cs="Times New Roman"/>
                <w:sz w:val="20"/>
                <w:szCs w:val="20"/>
                <w:lang w:val="ru-RU" w:eastAsia="en-US"/>
              </w:rPr>
              <w:t>);</w:t>
            </w:r>
          </w:p>
          <w:p w14:paraId="0288DA54"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2) </w:t>
            </w:r>
            <w:proofErr w:type="spellStart"/>
            <w:r>
              <w:rPr>
                <w:rFonts w:ascii="Times New Roman" w:eastAsia="Times New Roman" w:hAnsi="Times New Roman" w:cs="Times New Roman"/>
                <w:sz w:val="20"/>
                <w:szCs w:val="20"/>
                <w:lang w:val="ru-RU" w:eastAsia="en-US"/>
              </w:rPr>
              <w:t>завірені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скановані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актів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приймання-передачі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учаснику</w:t>
            </w:r>
            <w:proofErr w:type="spellEnd"/>
            <w:r>
              <w:rPr>
                <w:rFonts w:ascii="Times New Roman" w:eastAsia="Times New Roman" w:hAnsi="Times New Roman" w:cs="Times New Roman"/>
                <w:sz w:val="20"/>
                <w:szCs w:val="20"/>
                <w:lang w:val="ru-RU" w:eastAsia="en-US"/>
              </w:rPr>
              <w:t xml:space="preserve"> таких </w:t>
            </w:r>
            <w:proofErr w:type="spellStart"/>
            <w:r>
              <w:rPr>
                <w:rFonts w:ascii="Times New Roman" w:eastAsia="Times New Roman" w:hAnsi="Times New Roman" w:cs="Times New Roman"/>
                <w:sz w:val="20"/>
                <w:szCs w:val="20"/>
                <w:lang w:val="ru-RU" w:eastAsia="en-US"/>
              </w:rPr>
              <w:t>транспортних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до </w:t>
            </w:r>
            <w:proofErr w:type="spellStart"/>
            <w:r>
              <w:rPr>
                <w:rFonts w:ascii="Times New Roman" w:eastAsia="Times New Roman" w:hAnsi="Times New Roman" w:cs="Times New Roman"/>
                <w:sz w:val="20"/>
                <w:szCs w:val="20"/>
                <w:lang w:val="ru-RU" w:eastAsia="en-US"/>
              </w:rPr>
              <w:t>договорів</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у</w:t>
            </w:r>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разі</w:t>
            </w:r>
            <w:proofErr w:type="spellEnd"/>
            <w:r>
              <w:rPr>
                <w:rFonts w:ascii="Times New Roman" w:eastAsia="Times New Roman" w:hAnsi="Times New Roman" w:cs="Times New Roman"/>
                <w:sz w:val="20"/>
                <w:szCs w:val="20"/>
                <w:lang w:val="ru-RU" w:eastAsia="en-US"/>
              </w:rPr>
              <w:t xml:space="preserve">, коли </w:t>
            </w:r>
            <w:proofErr w:type="spellStart"/>
            <w:r>
              <w:rPr>
                <w:rFonts w:ascii="Times New Roman" w:eastAsia="Times New Roman" w:hAnsi="Times New Roman" w:cs="Times New Roman"/>
                <w:sz w:val="20"/>
                <w:szCs w:val="20"/>
                <w:lang w:val="ru-RU" w:eastAsia="en-US"/>
              </w:rPr>
              <w:t>вимогами</w:t>
            </w:r>
            <w:proofErr w:type="spellEnd"/>
            <w:r>
              <w:rPr>
                <w:rFonts w:ascii="Times New Roman" w:eastAsia="Times New Roman" w:hAnsi="Times New Roman" w:cs="Times New Roman"/>
                <w:sz w:val="20"/>
                <w:szCs w:val="20"/>
                <w:lang w:val="ru-RU" w:eastAsia="en-US"/>
              </w:rPr>
              <w:t xml:space="preserve"> чинного </w:t>
            </w:r>
            <w:proofErr w:type="spellStart"/>
            <w:r>
              <w:rPr>
                <w:rFonts w:ascii="Times New Roman" w:eastAsia="Times New Roman" w:hAnsi="Times New Roman" w:cs="Times New Roman"/>
                <w:sz w:val="20"/>
                <w:szCs w:val="20"/>
                <w:lang w:val="ru-RU" w:eastAsia="en-US"/>
              </w:rPr>
              <w:t>законодавства</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України</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умовами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зазначених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договорів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передбачено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їх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складання</w:t>
            </w:r>
            <w:proofErr w:type="spellEnd"/>
            <w:r>
              <w:rPr>
                <w:rFonts w:ascii="Times New Roman" w:eastAsia="Times New Roman" w:hAnsi="Times New Roman" w:cs="Times New Roman"/>
                <w:sz w:val="20"/>
                <w:szCs w:val="20"/>
                <w:lang w:val="ru-RU" w:eastAsia="en-US"/>
              </w:rPr>
              <w:t xml:space="preserve">); </w:t>
            </w:r>
          </w:p>
          <w:p w14:paraId="572C83A2"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3) </w:t>
            </w:r>
            <w:proofErr w:type="spellStart"/>
            <w:r>
              <w:rPr>
                <w:rFonts w:ascii="Times New Roman" w:eastAsia="Times New Roman" w:hAnsi="Times New Roman" w:cs="Times New Roman"/>
                <w:sz w:val="20"/>
                <w:szCs w:val="20"/>
                <w:lang w:val="ru-RU" w:eastAsia="en-US"/>
              </w:rPr>
              <w:t>завірені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скановані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свідоцтв</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реєстрацію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 та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тощо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інший</w:t>
            </w:r>
            <w:proofErr w:type="spellEnd"/>
            <w:r>
              <w:rPr>
                <w:rFonts w:ascii="Times New Roman" w:eastAsia="Times New Roman" w:hAnsi="Times New Roman" w:cs="Times New Roman"/>
                <w:sz w:val="20"/>
                <w:szCs w:val="20"/>
                <w:lang w:val="ru-RU" w:eastAsia="en-US"/>
              </w:rPr>
              <w:t xml:space="preserve"> документ,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підтверджують</w:t>
            </w:r>
            <w:proofErr w:type="spellEnd"/>
            <w:r>
              <w:rPr>
                <w:rFonts w:ascii="Times New Roman" w:eastAsia="Times New Roman" w:hAnsi="Times New Roman" w:cs="Times New Roman"/>
                <w:sz w:val="20"/>
                <w:szCs w:val="20"/>
                <w:lang w:val="ru-RU" w:eastAsia="en-US"/>
              </w:rPr>
              <w:t xml:space="preserve"> право </w:t>
            </w:r>
            <w:proofErr w:type="spellStart"/>
            <w:r>
              <w:rPr>
                <w:rFonts w:ascii="Times New Roman" w:eastAsia="Times New Roman" w:hAnsi="Times New Roman" w:cs="Times New Roman"/>
                <w:sz w:val="20"/>
                <w:szCs w:val="20"/>
                <w:lang w:val="ru-RU" w:eastAsia="en-US"/>
              </w:rPr>
              <w:t>власності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орендодавця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лізингодавця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іншої</w:t>
            </w:r>
            <w:proofErr w:type="spellEnd"/>
            <w:r>
              <w:rPr>
                <w:rFonts w:ascii="Times New Roman" w:eastAsia="Times New Roman" w:hAnsi="Times New Roman" w:cs="Times New Roman"/>
                <w:sz w:val="20"/>
                <w:szCs w:val="20"/>
                <w:lang w:val="ru-RU" w:eastAsia="en-US"/>
              </w:rPr>
              <w:t xml:space="preserve"> особи, яка </w:t>
            </w:r>
            <w:proofErr w:type="spellStart"/>
            <w:r>
              <w:rPr>
                <w:rFonts w:ascii="Times New Roman" w:eastAsia="Times New Roman" w:hAnsi="Times New Roman" w:cs="Times New Roman"/>
                <w:sz w:val="20"/>
                <w:szCs w:val="20"/>
                <w:lang w:val="ru-RU" w:eastAsia="en-US"/>
              </w:rPr>
              <w:t>зазначена</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відповідному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договорі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чи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перебування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його</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обліку</w:t>
            </w:r>
            <w:proofErr w:type="spellEnd"/>
            <w:r>
              <w:rPr>
                <w:rFonts w:ascii="Times New Roman" w:eastAsia="Times New Roman" w:hAnsi="Times New Roman" w:cs="Times New Roman"/>
                <w:sz w:val="20"/>
                <w:szCs w:val="20"/>
                <w:lang w:val="ru-RU" w:eastAsia="en-US"/>
              </w:rPr>
              <w:t>.</w:t>
            </w:r>
          </w:p>
          <w:p w14:paraId="61C2C3C1"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4) </w:t>
            </w:r>
            <w:proofErr w:type="spellStart"/>
            <w:r>
              <w:rPr>
                <w:rFonts w:ascii="Times New Roman" w:eastAsia="Times New Roman" w:hAnsi="Times New Roman" w:cs="Times New Roman"/>
                <w:b/>
                <w:bCs/>
                <w:sz w:val="20"/>
                <w:szCs w:val="20"/>
                <w:u w:val="single"/>
                <w:lang w:val="ru-RU" w:eastAsia="en-US"/>
              </w:rPr>
              <w:t>оригінал</w:t>
            </w:r>
            <w:proofErr w:type="spellEnd"/>
            <w:r>
              <w:rPr>
                <w:rFonts w:ascii="Times New Roman" w:eastAsia="Times New Roman" w:hAnsi="Times New Roman" w:cs="Times New Roman"/>
                <w:b/>
                <w:bCs/>
                <w:sz w:val="20"/>
                <w:szCs w:val="20"/>
                <w:u w:val="single"/>
                <w:lang w:val="ru-RU" w:eastAsia="en-US"/>
              </w:rPr>
              <w:t xml:space="preserve"> листа-</w:t>
            </w:r>
            <w:proofErr w:type="spellStart"/>
            <w:r>
              <w:rPr>
                <w:rFonts w:ascii="Times New Roman" w:eastAsia="Times New Roman" w:hAnsi="Times New Roman" w:cs="Times New Roman"/>
                <w:b/>
                <w:bCs/>
                <w:sz w:val="20"/>
                <w:szCs w:val="20"/>
                <w:u w:val="single"/>
                <w:lang w:val="ru-RU" w:eastAsia="en-US"/>
              </w:rPr>
              <w:t>підтвердження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орендодавця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лізингодавця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або</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іншої</w:t>
            </w:r>
            <w:proofErr w:type="spellEnd"/>
            <w:r>
              <w:rPr>
                <w:rFonts w:ascii="Times New Roman" w:eastAsia="Times New Roman" w:hAnsi="Times New Roman" w:cs="Times New Roman"/>
                <w:b/>
                <w:bCs/>
                <w:sz w:val="20"/>
                <w:szCs w:val="20"/>
                <w:u w:val="single"/>
                <w:lang w:val="ru-RU" w:eastAsia="en-US"/>
              </w:rPr>
              <w:t xml:space="preserve"> особи, яка </w:t>
            </w:r>
            <w:proofErr w:type="spellStart"/>
            <w:r>
              <w:rPr>
                <w:rFonts w:ascii="Times New Roman" w:eastAsia="Times New Roman" w:hAnsi="Times New Roman" w:cs="Times New Roman"/>
                <w:b/>
                <w:bCs/>
                <w:sz w:val="20"/>
                <w:szCs w:val="20"/>
                <w:u w:val="single"/>
                <w:lang w:val="ru-RU" w:eastAsia="en-US"/>
              </w:rPr>
              <w:t>зазначена</w:t>
            </w:r>
            <w:proofErr w:type="spellEnd"/>
            <w:r>
              <w:rPr>
                <w:rFonts w:ascii="Times New Roman" w:eastAsia="Times New Roman" w:hAnsi="Times New Roman" w:cs="Times New Roman"/>
                <w:b/>
                <w:bCs/>
                <w:sz w:val="20"/>
                <w:szCs w:val="20"/>
                <w:u w:val="single"/>
                <w:lang w:val="ru-RU" w:eastAsia="en-US"/>
              </w:rPr>
              <w:t xml:space="preserve"> у </w:t>
            </w:r>
            <w:proofErr w:type="spellStart"/>
            <w:r>
              <w:rPr>
                <w:rFonts w:ascii="Times New Roman" w:eastAsia="Times New Roman" w:hAnsi="Times New Roman" w:cs="Times New Roman"/>
                <w:b/>
                <w:bCs/>
                <w:sz w:val="20"/>
                <w:szCs w:val="20"/>
                <w:u w:val="single"/>
                <w:lang w:val="ru-RU" w:eastAsia="en-US"/>
              </w:rPr>
              <w:t>відповідному</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договорі</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щодо</w:t>
            </w:r>
            <w:proofErr w:type="spellEnd"/>
            <w:r>
              <w:rPr>
                <w:rFonts w:ascii="Times New Roman" w:eastAsia="Times New Roman" w:hAnsi="Times New Roman" w:cs="Times New Roman"/>
                <w:b/>
                <w:bCs/>
                <w:sz w:val="20"/>
                <w:szCs w:val="20"/>
                <w:u w:val="single"/>
                <w:lang w:val="ru-RU" w:eastAsia="en-US"/>
              </w:rPr>
              <w:t xml:space="preserve"> не </w:t>
            </w:r>
            <w:proofErr w:type="spellStart"/>
            <w:r>
              <w:rPr>
                <w:rFonts w:ascii="Times New Roman" w:eastAsia="Times New Roman" w:hAnsi="Times New Roman" w:cs="Times New Roman"/>
                <w:b/>
                <w:bCs/>
                <w:sz w:val="20"/>
                <w:szCs w:val="20"/>
                <w:u w:val="single"/>
                <w:lang w:val="ru-RU" w:eastAsia="en-US"/>
              </w:rPr>
              <w:t>заперечення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використання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b/>
                <w:bCs/>
                <w:sz w:val="20"/>
                <w:szCs w:val="20"/>
                <w:u w:val="single"/>
                <w:lang w:val="ru-RU" w:eastAsia="en-US"/>
              </w:rPr>
              <w:t>його</w:t>
            </w:r>
            <w:proofErr w:type="spellEnd"/>
            <w:r>
              <w:rPr>
                <w:rFonts w:ascii="Times New Roman" w:eastAsia="Times New Roman" w:hAnsi="Times New Roman" w:cs="Times New Roman"/>
                <w:b/>
                <w:bCs/>
                <w:sz w:val="20"/>
                <w:szCs w:val="20"/>
                <w:u w:val="single"/>
                <w:lang w:val="ru-RU" w:eastAsia="en-US"/>
              </w:rPr>
              <w:t xml:space="preserve"> машин, </w:t>
            </w:r>
            <w:proofErr w:type="spellStart"/>
            <w:r>
              <w:rPr>
                <w:rFonts w:ascii="Times New Roman" w:eastAsia="Times New Roman" w:hAnsi="Times New Roman" w:cs="Times New Roman"/>
                <w:b/>
                <w:bCs/>
                <w:sz w:val="20"/>
                <w:szCs w:val="20"/>
                <w:u w:val="single"/>
                <w:lang w:val="ru-RU" w:eastAsia="en-US"/>
              </w:rPr>
              <w:t>механізмів</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інших</w:t>
            </w:r>
            <w:proofErr w:type="spellEnd"/>
            <w:r>
              <w:rPr>
                <w:rFonts w:ascii="Times New Roman" w:eastAsia="Times New Roman" w:hAnsi="Times New Roman" w:cs="Times New Roman"/>
                <w:sz w:val="20"/>
                <w:szCs w:val="20"/>
                <w:lang w:val="ru-RU" w:eastAsia="en-US"/>
              </w:rPr>
              <w:t xml:space="preserve"> для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робіт</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надання</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послуг</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Субпідрядником</w:t>
            </w:r>
            <w:proofErr w:type="spellEnd"/>
            <w:r>
              <w:rPr>
                <w:rFonts w:ascii="Times New Roman" w:eastAsia="Times New Roman" w:hAnsi="Times New Roman" w:cs="Times New Roman"/>
                <w:sz w:val="20"/>
                <w:szCs w:val="20"/>
                <w:lang w:val="ru-RU" w:eastAsia="en-US"/>
              </w:rPr>
              <w:t xml:space="preserve"> за предметом </w:t>
            </w:r>
            <w:proofErr w:type="spellStart"/>
            <w:r>
              <w:rPr>
                <w:rFonts w:ascii="Times New Roman" w:eastAsia="Times New Roman" w:hAnsi="Times New Roman" w:cs="Times New Roman"/>
                <w:sz w:val="20"/>
                <w:szCs w:val="20"/>
                <w:lang w:val="ru-RU" w:eastAsia="en-US"/>
              </w:rPr>
              <w:t>закупівлі</w:t>
            </w:r>
            <w:proofErr w:type="spellEnd"/>
            <w:r>
              <w:rPr>
                <w:rFonts w:ascii="Times New Roman" w:eastAsia="Times New Roman" w:hAnsi="Times New Roman" w:cs="Times New Roman"/>
                <w:sz w:val="20"/>
                <w:szCs w:val="20"/>
                <w:lang w:val="ru-RU" w:eastAsia="en-US"/>
              </w:rPr>
              <w:t xml:space="preserve"> на весь строк </w:t>
            </w:r>
            <w:proofErr w:type="spellStart"/>
            <w:r>
              <w:rPr>
                <w:rFonts w:ascii="Times New Roman" w:eastAsia="Times New Roman" w:hAnsi="Times New Roman" w:cs="Times New Roman"/>
                <w:sz w:val="20"/>
                <w:szCs w:val="20"/>
                <w:lang w:val="ru-RU" w:eastAsia="en-US"/>
              </w:rPr>
              <w:t>надання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послуг</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робіт</w:t>
            </w:r>
            <w:proofErr w:type="spellEnd"/>
            <w:r>
              <w:rPr>
                <w:rFonts w:ascii="Times New Roman" w:eastAsia="Times New Roman" w:hAnsi="Times New Roman" w:cs="Times New Roman"/>
                <w:sz w:val="20"/>
                <w:szCs w:val="20"/>
                <w:lang w:val="ru-RU" w:eastAsia="en-US"/>
              </w:rPr>
              <w:t xml:space="preserve"> за предметом </w:t>
            </w:r>
            <w:proofErr w:type="spellStart"/>
            <w:r>
              <w:rPr>
                <w:rFonts w:ascii="Times New Roman" w:eastAsia="Times New Roman" w:hAnsi="Times New Roman" w:cs="Times New Roman"/>
                <w:sz w:val="20"/>
                <w:szCs w:val="20"/>
                <w:lang w:val="ru-RU" w:eastAsia="en-US"/>
              </w:rPr>
              <w:t>закупівлі</w:t>
            </w:r>
            <w:proofErr w:type="spellEnd"/>
            <w:r>
              <w:rPr>
                <w:rFonts w:ascii="Times New Roman" w:eastAsia="Times New Roman" w:hAnsi="Times New Roman" w:cs="Times New Roman"/>
                <w:sz w:val="20"/>
                <w:szCs w:val="20"/>
                <w:lang w:val="ru-RU" w:eastAsia="en-US"/>
              </w:rPr>
              <w:t>.</w:t>
            </w:r>
          </w:p>
          <w:p w14:paraId="07DCB528"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5) у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матеріально-технічної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бази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вимогам</w:t>
            </w:r>
            <w:proofErr w:type="spellEnd"/>
            <w:r>
              <w:rPr>
                <w:rFonts w:ascii="Times New Roman" w:eastAsia="Times New Roman" w:hAnsi="Times New Roman" w:cs="Times New Roman"/>
                <w:sz w:val="20"/>
                <w:szCs w:val="20"/>
                <w:lang w:val="ru-RU" w:eastAsia="en-US"/>
              </w:rPr>
              <w:t xml:space="preserve"> з </w:t>
            </w:r>
            <w:proofErr w:type="spellStart"/>
            <w:r>
              <w:rPr>
                <w:rFonts w:ascii="Times New Roman" w:eastAsia="Times New Roman" w:hAnsi="Times New Roman" w:cs="Times New Roman"/>
                <w:sz w:val="20"/>
                <w:szCs w:val="20"/>
                <w:lang w:val="ru-RU" w:eastAsia="en-US"/>
              </w:rPr>
              <w:t>питань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охорони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праці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складі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пропозиції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b/>
                <w:sz w:val="20"/>
                <w:szCs w:val="20"/>
                <w:lang w:val="ru-RU" w:eastAsia="en-US"/>
              </w:rPr>
              <w:t>надає</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чинну</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декларацію</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відповідності</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матеріально-технічної</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бази</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вимогам</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законодавства</w:t>
            </w:r>
            <w:proofErr w:type="spellEnd"/>
            <w:r>
              <w:rPr>
                <w:rFonts w:ascii="Times New Roman" w:eastAsia="Times New Roman" w:hAnsi="Times New Roman" w:cs="Times New Roman"/>
                <w:b/>
                <w:sz w:val="20"/>
                <w:szCs w:val="20"/>
                <w:lang w:val="ru-RU" w:eastAsia="en-US"/>
              </w:rPr>
              <w:t xml:space="preserve"> з </w:t>
            </w:r>
            <w:proofErr w:type="spellStart"/>
            <w:r>
              <w:rPr>
                <w:rFonts w:ascii="Times New Roman" w:eastAsia="Times New Roman" w:hAnsi="Times New Roman" w:cs="Times New Roman"/>
                <w:b/>
                <w:sz w:val="20"/>
                <w:szCs w:val="20"/>
                <w:lang w:val="ru-RU" w:eastAsia="en-US"/>
              </w:rPr>
              <w:t>питань</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охорони</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праці</w:t>
            </w:r>
            <w:proofErr w:type="spellEnd"/>
            <w:r>
              <w:rPr>
                <w:rFonts w:ascii="Times New Roman" w:eastAsia="Times New Roman" w:hAnsi="Times New Roman" w:cs="Times New Roman"/>
                <w:b/>
                <w:sz w:val="20"/>
                <w:szCs w:val="20"/>
                <w:lang w:val="ru-RU" w:eastAsia="en-US"/>
              </w:rPr>
              <w:t>,</w:t>
            </w: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видану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w:t>
            </w:r>
            <w:proofErr w:type="spellEnd"/>
            <w:r>
              <w:rPr>
                <w:rFonts w:ascii="Times New Roman" w:eastAsia="Times New Roman" w:hAnsi="Times New Roman" w:cs="Times New Roman"/>
                <w:sz w:val="20"/>
                <w:szCs w:val="20"/>
                <w:lang w:val="ru-RU" w:eastAsia="en-US"/>
              </w:rPr>
              <w:t xml:space="preserve"> до « Порядку </w:t>
            </w:r>
            <w:proofErr w:type="spellStart"/>
            <w:r>
              <w:rPr>
                <w:rFonts w:ascii="Times New Roman" w:eastAsia="Times New Roman" w:hAnsi="Times New Roman" w:cs="Times New Roman"/>
                <w:sz w:val="20"/>
                <w:szCs w:val="20"/>
                <w:lang w:val="ru-RU" w:eastAsia="en-US"/>
              </w:rPr>
              <w:t>видачі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дозволів</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lastRenderedPageBreak/>
              <w:t>робіт</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підвищеної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небезпеки</w:t>
            </w:r>
            <w:proofErr w:type="spellEnd"/>
            <w:r>
              <w:rPr>
                <w:rFonts w:ascii="Times New Roman" w:eastAsia="Times New Roman" w:hAnsi="Times New Roman" w:cs="Times New Roman"/>
                <w:sz w:val="20"/>
                <w:szCs w:val="20"/>
                <w:lang w:val="ru-RU" w:eastAsia="en-US"/>
              </w:rPr>
              <w:t xml:space="preserve"> та на </w:t>
            </w:r>
            <w:proofErr w:type="spellStart"/>
            <w:r>
              <w:rPr>
                <w:rFonts w:ascii="Times New Roman" w:eastAsia="Times New Roman" w:hAnsi="Times New Roman" w:cs="Times New Roman"/>
                <w:sz w:val="20"/>
                <w:szCs w:val="20"/>
                <w:lang w:val="ru-RU" w:eastAsia="en-US"/>
              </w:rPr>
              <w:t>експлуатацію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застосування</w:t>
            </w:r>
            <w:proofErr w:type="spellEnd"/>
            <w:r>
              <w:rPr>
                <w:rFonts w:ascii="Times New Roman" w:eastAsia="Times New Roman" w:hAnsi="Times New Roman" w:cs="Times New Roman"/>
                <w:sz w:val="20"/>
                <w:szCs w:val="20"/>
                <w:lang w:val="ru-RU" w:eastAsia="en-US"/>
              </w:rPr>
              <w:t xml:space="preserve">) машин,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підвищеної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небезпеки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Затвердженого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Постановою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Кабінету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Міністрів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України</w:t>
            </w:r>
            <w:proofErr w:type="spellEnd"/>
            <w:r>
              <w:rPr>
                <w:rFonts w:ascii="Times New Roman" w:eastAsia="Times New Roman" w:hAnsi="Times New Roman" w:cs="Times New Roman"/>
                <w:sz w:val="20"/>
                <w:szCs w:val="20"/>
                <w:lang w:val="ru-RU" w:eastAsia="en-US"/>
              </w:rPr>
              <w:t xml:space="preserve"> № 1107 </w:t>
            </w:r>
            <w:proofErr w:type="spellStart"/>
            <w:r>
              <w:rPr>
                <w:rFonts w:ascii="Times New Roman" w:eastAsia="Times New Roman" w:hAnsi="Times New Roman" w:cs="Times New Roman"/>
                <w:sz w:val="20"/>
                <w:szCs w:val="20"/>
                <w:lang w:val="ru-RU" w:eastAsia="en-US"/>
              </w:rPr>
              <w:t>від</w:t>
            </w:r>
            <w:proofErr w:type="spellEnd"/>
            <w:r>
              <w:rPr>
                <w:rFonts w:ascii="Times New Roman" w:eastAsia="Times New Roman" w:hAnsi="Times New Roman" w:cs="Times New Roman"/>
                <w:sz w:val="20"/>
                <w:szCs w:val="20"/>
                <w:lang w:val="ru-RU" w:eastAsia="en-US"/>
              </w:rPr>
              <w:t xml:space="preserve"> 26 </w:t>
            </w:r>
            <w:proofErr w:type="spellStart"/>
            <w:r>
              <w:rPr>
                <w:rFonts w:ascii="Times New Roman" w:eastAsia="Times New Roman" w:hAnsi="Times New Roman" w:cs="Times New Roman"/>
                <w:sz w:val="20"/>
                <w:szCs w:val="20"/>
                <w:lang w:val="ru-RU" w:eastAsia="en-US"/>
              </w:rPr>
              <w:t>жовтня</w:t>
            </w:r>
            <w:proofErr w:type="spellEnd"/>
            <w:r>
              <w:rPr>
                <w:rFonts w:ascii="Times New Roman" w:eastAsia="Times New Roman" w:hAnsi="Times New Roman" w:cs="Times New Roman"/>
                <w:sz w:val="20"/>
                <w:szCs w:val="20"/>
                <w:lang w:val="ru-RU" w:eastAsia="en-US"/>
              </w:rPr>
              <w:t xml:space="preserve"> 2011 року </w:t>
            </w:r>
            <w:proofErr w:type="spellStart"/>
            <w:r>
              <w:rPr>
                <w:rFonts w:ascii="Times New Roman" w:eastAsia="Times New Roman" w:hAnsi="Times New Roman" w:cs="Times New Roman"/>
                <w:sz w:val="20"/>
                <w:szCs w:val="20"/>
                <w:lang w:val="ru-RU" w:eastAsia="en-US"/>
              </w:rPr>
              <w:t>зі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змінами</w:t>
            </w:r>
            <w:proofErr w:type="spellEnd"/>
            <w:r>
              <w:rPr>
                <w:rFonts w:ascii="Times New Roman" w:eastAsia="Times New Roman" w:hAnsi="Times New Roman" w:cs="Times New Roman"/>
                <w:sz w:val="20"/>
                <w:szCs w:val="20"/>
                <w:lang w:val="ru-RU" w:eastAsia="en-US"/>
              </w:rPr>
              <w:t xml:space="preserve"> і </w:t>
            </w:r>
            <w:proofErr w:type="spellStart"/>
            <w:r>
              <w:rPr>
                <w:rFonts w:ascii="Times New Roman" w:eastAsia="Times New Roman" w:hAnsi="Times New Roman" w:cs="Times New Roman"/>
                <w:sz w:val="20"/>
                <w:szCs w:val="20"/>
                <w:lang w:val="ru-RU" w:eastAsia="en-US"/>
              </w:rPr>
              <w:t>доповненнями</w:t>
            </w:r>
            <w:proofErr w:type="spellEnd"/>
            <w:r>
              <w:rPr>
                <w:rFonts w:ascii="Times New Roman" w:eastAsia="Times New Roman" w:hAnsi="Times New Roman" w:cs="Times New Roman"/>
                <w:sz w:val="20"/>
                <w:szCs w:val="20"/>
                <w:lang w:val="ru-RU" w:eastAsia="en-US"/>
              </w:rPr>
              <w:t>.</w:t>
            </w:r>
          </w:p>
          <w:p w14:paraId="391E848A"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Довідка</w:t>
            </w:r>
            <w:proofErr w:type="spellEnd"/>
            <w:r>
              <w:rPr>
                <w:rFonts w:ascii="Times New Roman" w:eastAsia="Times New Roman" w:hAnsi="Times New Roman" w:cs="Times New Roman"/>
                <w:sz w:val="20"/>
                <w:szCs w:val="20"/>
                <w:lang w:val="ru-RU" w:eastAsia="en-US"/>
              </w:rPr>
              <w:t xml:space="preserve"> </w:t>
            </w:r>
            <w:proofErr w:type="spellStart"/>
            <w:proofErr w:type="gramStart"/>
            <w:r>
              <w:rPr>
                <w:rFonts w:ascii="Times New Roman" w:eastAsia="Times New Roman" w:hAnsi="Times New Roman" w:cs="Times New Roman"/>
                <w:sz w:val="20"/>
                <w:szCs w:val="20"/>
                <w:lang w:val="ru-RU" w:eastAsia="en-US"/>
              </w:rPr>
              <w:t>обов»язково</w:t>
            </w:r>
            <w:proofErr w:type="spellEnd"/>
            <w:proofErr w:type="gramEnd"/>
            <w:r>
              <w:rPr>
                <w:rFonts w:ascii="Times New Roman" w:eastAsia="Times New Roman" w:hAnsi="Times New Roman" w:cs="Times New Roman"/>
                <w:sz w:val="20"/>
                <w:szCs w:val="20"/>
                <w:lang w:val="ru-RU" w:eastAsia="en-US"/>
              </w:rPr>
              <w:t xml:space="preserve"> повинна </w:t>
            </w:r>
            <w:proofErr w:type="spellStart"/>
            <w:r>
              <w:rPr>
                <w:rFonts w:ascii="Times New Roman" w:eastAsia="Times New Roman" w:hAnsi="Times New Roman" w:cs="Times New Roman"/>
                <w:sz w:val="20"/>
                <w:szCs w:val="20"/>
                <w:lang w:val="ru-RU" w:eastAsia="en-US"/>
              </w:rPr>
              <w:t>містити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інформацію</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наявність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офісного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приміщення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складського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приміщення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із</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зазначенням</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інформації</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їх</w:t>
            </w:r>
            <w:proofErr w:type="spellEnd"/>
            <w:r>
              <w:rPr>
                <w:rFonts w:ascii="Times New Roman" w:eastAsia="Times New Roman" w:hAnsi="Times New Roman" w:cs="Times New Roman"/>
                <w:sz w:val="20"/>
                <w:szCs w:val="20"/>
                <w:lang w:val="ru-RU" w:eastAsia="en-US"/>
              </w:rPr>
              <w:t xml:space="preserve"> адресу для </w:t>
            </w:r>
            <w:proofErr w:type="spellStart"/>
            <w:r>
              <w:rPr>
                <w:rFonts w:ascii="Times New Roman" w:eastAsia="Times New Roman" w:hAnsi="Times New Roman" w:cs="Times New Roman"/>
                <w:sz w:val="20"/>
                <w:szCs w:val="20"/>
                <w:lang w:val="ru-RU" w:eastAsia="en-US"/>
              </w:rPr>
              <w:t>здійснення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діяльності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площі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відомостей</w:t>
            </w:r>
            <w:proofErr w:type="spellEnd"/>
            <w:r>
              <w:rPr>
                <w:rFonts w:ascii="Times New Roman" w:eastAsia="Times New Roman" w:hAnsi="Times New Roman" w:cs="Times New Roman"/>
                <w:sz w:val="20"/>
                <w:szCs w:val="20"/>
                <w:lang w:val="ru-RU" w:eastAsia="en-US"/>
              </w:rPr>
              <w:t xml:space="preserve"> про право </w:t>
            </w:r>
            <w:proofErr w:type="spellStart"/>
            <w:r>
              <w:rPr>
                <w:rFonts w:ascii="Times New Roman" w:eastAsia="Times New Roman" w:hAnsi="Times New Roman" w:cs="Times New Roman"/>
                <w:sz w:val="20"/>
                <w:szCs w:val="20"/>
                <w:lang w:val="ru-RU" w:eastAsia="en-US"/>
              </w:rPr>
              <w:t>володіння</w:t>
            </w:r>
            <w:proofErr w:type="spellEnd"/>
            <w:r>
              <w:rPr>
                <w:rFonts w:ascii="Times New Roman" w:eastAsia="Times New Roman" w:hAnsi="Times New Roman" w:cs="Times New Roman"/>
                <w:sz w:val="20"/>
                <w:szCs w:val="20"/>
                <w:lang w:val="ru-RU" w:eastAsia="en-US"/>
              </w:rPr>
              <w:t>/</w:t>
            </w:r>
            <w:proofErr w:type="spellStart"/>
            <w:r>
              <w:rPr>
                <w:rFonts w:ascii="Times New Roman" w:eastAsia="Times New Roman" w:hAnsi="Times New Roman" w:cs="Times New Roman"/>
                <w:sz w:val="20"/>
                <w:szCs w:val="20"/>
                <w:lang w:val="ru-RU" w:eastAsia="en-US"/>
              </w:rPr>
              <w:t>користування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зазначається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правовстановлюючий</w:t>
            </w:r>
            <w:proofErr w:type="spellEnd"/>
            <w:r>
              <w:rPr>
                <w:rFonts w:ascii="Times New Roman" w:eastAsia="Times New Roman" w:hAnsi="Times New Roman" w:cs="Times New Roman"/>
                <w:sz w:val="20"/>
                <w:szCs w:val="20"/>
                <w:lang w:val="ru-RU" w:eastAsia="en-US"/>
              </w:rPr>
              <w:t xml:space="preserve"> документ, </w:t>
            </w:r>
            <w:proofErr w:type="spellStart"/>
            <w:r>
              <w:rPr>
                <w:rFonts w:ascii="Times New Roman" w:eastAsia="Times New Roman" w:hAnsi="Times New Roman" w:cs="Times New Roman"/>
                <w:sz w:val="20"/>
                <w:szCs w:val="20"/>
                <w:lang w:val="ru-RU" w:eastAsia="en-US"/>
              </w:rPr>
              <w:t>його</w:t>
            </w:r>
            <w:proofErr w:type="spellEnd"/>
            <w:r>
              <w:rPr>
                <w:rFonts w:ascii="Times New Roman" w:eastAsia="Times New Roman" w:hAnsi="Times New Roman" w:cs="Times New Roman"/>
                <w:sz w:val="20"/>
                <w:szCs w:val="20"/>
                <w:lang w:val="ru-RU" w:eastAsia="en-US"/>
              </w:rPr>
              <w:t xml:space="preserve"> дата та номер, строк </w:t>
            </w:r>
            <w:proofErr w:type="spellStart"/>
            <w:r>
              <w:rPr>
                <w:rFonts w:ascii="Times New Roman" w:eastAsia="Times New Roman" w:hAnsi="Times New Roman" w:cs="Times New Roman"/>
                <w:sz w:val="20"/>
                <w:szCs w:val="20"/>
                <w:lang w:val="ru-RU" w:eastAsia="en-US"/>
              </w:rPr>
              <w:t>дії</w:t>
            </w:r>
            <w:proofErr w:type="spellEnd"/>
            <w:r>
              <w:rPr>
                <w:rFonts w:ascii="Times New Roman" w:eastAsia="Times New Roman" w:hAnsi="Times New Roman" w:cs="Times New Roman"/>
                <w:sz w:val="20"/>
                <w:szCs w:val="20"/>
                <w:lang w:val="ru-RU" w:eastAsia="en-US"/>
              </w:rPr>
              <w:t xml:space="preserve">). </w:t>
            </w:r>
          </w:p>
          <w:p w14:paraId="62CF8722"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може</w:t>
            </w:r>
            <w:proofErr w:type="spellEnd"/>
            <w:r>
              <w:rPr>
                <w:rFonts w:ascii="Times New Roman" w:eastAsia="Times New Roman" w:hAnsi="Times New Roman" w:cs="Times New Roman"/>
                <w:sz w:val="20"/>
                <w:szCs w:val="20"/>
                <w:lang w:val="ru-RU" w:eastAsia="en-US"/>
              </w:rPr>
              <w:t xml:space="preserve"> для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своєї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відповідності</w:t>
            </w:r>
            <w:proofErr w:type="spellEnd"/>
            <w:r>
              <w:rPr>
                <w:rFonts w:ascii="Times New Roman" w:eastAsia="Times New Roman" w:hAnsi="Times New Roman" w:cs="Times New Roman"/>
                <w:sz w:val="20"/>
                <w:szCs w:val="20"/>
                <w:lang w:val="ru-RU" w:eastAsia="en-US"/>
              </w:rPr>
              <w:t xml:space="preserve"> такому </w:t>
            </w:r>
            <w:proofErr w:type="spellStart"/>
            <w:r>
              <w:rPr>
                <w:rFonts w:ascii="Times New Roman" w:eastAsia="Times New Roman" w:hAnsi="Times New Roman" w:cs="Times New Roman"/>
                <w:sz w:val="20"/>
                <w:szCs w:val="20"/>
                <w:lang w:val="ru-RU" w:eastAsia="en-US"/>
              </w:rPr>
              <w:t>критерію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залучити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потужності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інших</w:t>
            </w:r>
            <w:proofErr w:type="spellEnd"/>
            <w:r>
              <w:rPr>
                <w:rFonts w:ascii="Times New Roman" w:eastAsia="Times New Roman" w:hAnsi="Times New Roman" w:cs="Times New Roman"/>
                <w:sz w:val="20"/>
                <w:szCs w:val="20"/>
                <w:lang w:val="ru-RU" w:eastAsia="en-US"/>
              </w:rPr>
              <w:t xml:space="preserve"> </w:t>
            </w:r>
            <w:proofErr w:type="spellStart"/>
            <w:proofErr w:type="gramStart"/>
            <w:r>
              <w:rPr>
                <w:rFonts w:ascii="Times New Roman" w:eastAsia="Times New Roman" w:hAnsi="Times New Roman" w:cs="Times New Roman"/>
                <w:sz w:val="20"/>
                <w:szCs w:val="20"/>
                <w:lang w:val="ru-RU" w:eastAsia="en-US"/>
              </w:rPr>
              <w:t>суб»єктів</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господарювання</w:t>
            </w:r>
            <w:proofErr w:type="spellEnd"/>
            <w:r>
              <w:rPr>
                <w:rFonts w:ascii="Times New Roman" w:eastAsia="Times New Roman" w:hAnsi="Times New Roman" w:cs="Times New Roman"/>
                <w:sz w:val="20"/>
                <w:szCs w:val="20"/>
                <w:lang w:val="ru-RU" w:eastAsia="en-US"/>
              </w:rPr>
              <w:t xml:space="preserve"> як </w:t>
            </w:r>
            <w:proofErr w:type="spellStart"/>
            <w:r>
              <w:rPr>
                <w:rFonts w:ascii="Times New Roman" w:eastAsia="Times New Roman" w:hAnsi="Times New Roman" w:cs="Times New Roman"/>
                <w:sz w:val="20"/>
                <w:szCs w:val="20"/>
                <w:lang w:val="ru-RU" w:eastAsia="en-US"/>
              </w:rPr>
              <w:t>субпідрядників</w:t>
            </w:r>
            <w:proofErr w:type="spellEnd"/>
            <w:r>
              <w:rPr>
                <w:rFonts w:ascii="Times New Roman" w:eastAsia="Times New Roman" w:hAnsi="Times New Roman" w:cs="Times New Roman"/>
                <w:sz w:val="20"/>
                <w:szCs w:val="20"/>
                <w:lang w:val="ru-RU" w:eastAsia="en-US"/>
              </w:rPr>
              <w:t>/</w:t>
            </w:r>
            <w:proofErr w:type="spellStart"/>
            <w:r>
              <w:rPr>
                <w:rFonts w:ascii="Times New Roman" w:eastAsia="Times New Roman" w:hAnsi="Times New Roman" w:cs="Times New Roman"/>
                <w:sz w:val="20"/>
                <w:szCs w:val="20"/>
                <w:lang w:val="ru-RU" w:eastAsia="en-US"/>
              </w:rPr>
              <w:t>співвиконавців</w:t>
            </w:r>
            <w:proofErr w:type="spellEnd"/>
            <w:r>
              <w:rPr>
                <w:rFonts w:ascii="Times New Roman" w:eastAsia="Times New Roman" w:hAnsi="Times New Roman" w:cs="Times New Roman"/>
                <w:sz w:val="20"/>
                <w:szCs w:val="20"/>
                <w:lang w:val="ru-RU" w:eastAsia="en-US"/>
              </w:rPr>
              <w:t>.</w:t>
            </w:r>
          </w:p>
          <w:p w14:paraId="4E801DDC"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
          <w:p w14:paraId="24065A17" w14:textId="77777777" w:rsidR="002B6054" w:rsidRDefault="002B6054">
            <w:pPr>
              <w:spacing w:line="240" w:lineRule="auto"/>
              <w:jc w:val="both"/>
              <w:rPr>
                <w:rFonts w:ascii="Times New Roman" w:hAnsi="Times New Roman" w:cs="Times New Roman"/>
                <w:sz w:val="20"/>
                <w:szCs w:val="20"/>
                <w:lang w:eastAsia="en-US"/>
              </w:rPr>
            </w:pPr>
            <w:proofErr w:type="spellStart"/>
            <w:r>
              <w:rPr>
                <w:rFonts w:ascii="Times New Roman" w:eastAsia="Times New Roman" w:hAnsi="Times New Roman" w:cs="Times New Roman"/>
                <w:i/>
                <w:iCs/>
                <w:sz w:val="20"/>
                <w:szCs w:val="20"/>
                <w:lang w:val="ru-RU" w:eastAsia="en-US"/>
              </w:rPr>
              <w:t>Відповідність</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поданої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пропозиції</w:t>
            </w:r>
            <w:proofErr w:type="spellEnd"/>
            <w:r>
              <w:rPr>
                <w:rFonts w:ascii="Times New Roman" w:eastAsia="Times New Roman" w:hAnsi="Times New Roman" w:cs="Times New Roman"/>
                <w:i/>
                <w:iCs/>
                <w:sz w:val="20"/>
                <w:szCs w:val="20"/>
                <w:lang w:val="ru-RU" w:eastAsia="en-US"/>
              </w:rPr>
              <w:t xml:space="preserve"> за </w:t>
            </w:r>
            <w:proofErr w:type="spellStart"/>
            <w:r>
              <w:rPr>
                <w:rFonts w:ascii="Times New Roman" w:eastAsia="Times New Roman" w:hAnsi="Times New Roman" w:cs="Times New Roman"/>
                <w:i/>
                <w:iCs/>
                <w:sz w:val="20"/>
                <w:szCs w:val="20"/>
                <w:lang w:val="ru-RU" w:eastAsia="en-US"/>
              </w:rPr>
              <w:t>цим</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критерієм</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підтверджується</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наданням</w:t>
            </w:r>
            <w:proofErr w:type="spellEnd"/>
            <w:r>
              <w:rPr>
                <w:rFonts w:ascii="Times New Roman" w:eastAsia="Times New Roman" w:hAnsi="Times New Roman" w:cs="Times New Roman"/>
                <w:i/>
                <w:iCs/>
                <w:sz w:val="20"/>
                <w:szCs w:val="20"/>
                <w:lang w:val="ru-RU" w:eastAsia="en-US"/>
              </w:rPr>
              <w:t xml:space="preserve"> у </w:t>
            </w:r>
            <w:proofErr w:type="spellStart"/>
            <w:r>
              <w:rPr>
                <w:rFonts w:ascii="Times New Roman" w:eastAsia="Times New Roman" w:hAnsi="Times New Roman" w:cs="Times New Roman"/>
                <w:i/>
                <w:iCs/>
                <w:sz w:val="20"/>
                <w:szCs w:val="20"/>
                <w:lang w:val="ru-RU" w:eastAsia="en-US"/>
              </w:rPr>
              <w:t>складі</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пропозиції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коректно</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оформленої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довідки</w:t>
            </w:r>
            <w:proofErr w:type="spellEnd"/>
            <w:r>
              <w:rPr>
                <w:rFonts w:ascii="Times New Roman" w:eastAsia="Times New Roman" w:hAnsi="Times New Roman" w:cs="Times New Roman"/>
                <w:i/>
                <w:iCs/>
                <w:sz w:val="20"/>
                <w:szCs w:val="20"/>
                <w:lang w:val="ru-RU" w:eastAsia="en-US"/>
              </w:rPr>
              <w:t xml:space="preserve"> про </w:t>
            </w:r>
            <w:proofErr w:type="spellStart"/>
            <w:r>
              <w:rPr>
                <w:rFonts w:ascii="Times New Roman" w:eastAsia="Times New Roman" w:hAnsi="Times New Roman" w:cs="Times New Roman"/>
                <w:i/>
                <w:iCs/>
                <w:sz w:val="20"/>
                <w:szCs w:val="20"/>
                <w:lang w:val="ru-RU" w:eastAsia="en-US"/>
              </w:rPr>
              <w:t>наявність</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обладнання</w:t>
            </w:r>
            <w:proofErr w:type="spellEnd"/>
            <w:r>
              <w:rPr>
                <w:rFonts w:ascii="Times New Roman" w:eastAsia="Times New Roman" w:hAnsi="Times New Roman" w:cs="Times New Roman"/>
                <w:i/>
                <w:iCs/>
                <w:sz w:val="20"/>
                <w:szCs w:val="20"/>
                <w:lang w:val="ru-RU" w:eastAsia="en-US"/>
              </w:rPr>
              <w:t xml:space="preserve"> та </w:t>
            </w:r>
            <w:proofErr w:type="spellStart"/>
            <w:r>
              <w:rPr>
                <w:rFonts w:ascii="Times New Roman" w:eastAsia="Times New Roman" w:hAnsi="Times New Roman" w:cs="Times New Roman"/>
                <w:i/>
                <w:iCs/>
                <w:sz w:val="20"/>
                <w:szCs w:val="20"/>
                <w:lang w:val="ru-RU" w:eastAsia="en-US"/>
              </w:rPr>
              <w:t>матеріально-технічної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бази</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необхідних</w:t>
            </w:r>
            <w:proofErr w:type="spellEnd"/>
            <w:r>
              <w:rPr>
                <w:rFonts w:ascii="Times New Roman" w:eastAsia="Times New Roman" w:hAnsi="Times New Roman" w:cs="Times New Roman"/>
                <w:i/>
                <w:iCs/>
                <w:sz w:val="20"/>
                <w:szCs w:val="20"/>
                <w:lang w:val="ru-RU" w:eastAsia="en-US"/>
              </w:rPr>
              <w:t xml:space="preserve"> для </w:t>
            </w:r>
            <w:proofErr w:type="spellStart"/>
            <w:r>
              <w:rPr>
                <w:rFonts w:ascii="Times New Roman" w:eastAsia="Times New Roman" w:hAnsi="Times New Roman" w:cs="Times New Roman"/>
                <w:i/>
                <w:iCs/>
                <w:sz w:val="20"/>
                <w:szCs w:val="20"/>
                <w:lang w:val="ru-RU" w:eastAsia="en-US"/>
              </w:rPr>
              <w:t>виконання</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робіт</w:t>
            </w:r>
            <w:proofErr w:type="spellEnd"/>
            <w:r>
              <w:rPr>
                <w:rFonts w:ascii="Times New Roman" w:eastAsia="Times New Roman" w:hAnsi="Times New Roman" w:cs="Times New Roman"/>
                <w:i/>
                <w:iCs/>
                <w:sz w:val="20"/>
                <w:szCs w:val="20"/>
                <w:lang w:val="ru-RU" w:eastAsia="en-US"/>
              </w:rPr>
              <w:t xml:space="preserve"> </w:t>
            </w:r>
            <w:proofErr w:type="gramStart"/>
            <w:r>
              <w:rPr>
                <w:rFonts w:ascii="Times New Roman" w:eastAsia="Times New Roman" w:hAnsi="Times New Roman" w:cs="Times New Roman"/>
                <w:i/>
                <w:iCs/>
                <w:sz w:val="20"/>
                <w:szCs w:val="20"/>
                <w:lang w:val="ru-RU" w:eastAsia="en-US"/>
              </w:rPr>
              <w:t>( та</w:t>
            </w:r>
            <w:proofErr w:type="gramEnd"/>
            <w:r>
              <w:rPr>
                <w:rFonts w:ascii="Times New Roman" w:eastAsia="Times New Roman" w:hAnsi="Times New Roman" w:cs="Times New Roman"/>
                <w:i/>
                <w:iCs/>
                <w:sz w:val="20"/>
                <w:szCs w:val="20"/>
                <w:lang w:val="ru-RU" w:eastAsia="en-US"/>
              </w:rPr>
              <w:t xml:space="preserve"> сканами </w:t>
            </w:r>
            <w:proofErr w:type="spellStart"/>
            <w:r>
              <w:rPr>
                <w:rFonts w:ascii="Times New Roman" w:eastAsia="Times New Roman" w:hAnsi="Times New Roman" w:cs="Times New Roman"/>
                <w:i/>
                <w:iCs/>
                <w:sz w:val="20"/>
                <w:szCs w:val="20"/>
                <w:lang w:val="ru-RU" w:eastAsia="en-US"/>
              </w:rPr>
              <w:t>підтвердних</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документів</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якщо</w:t>
            </w:r>
            <w:proofErr w:type="spellEnd"/>
            <w:r>
              <w:rPr>
                <w:rFonts w:ascii="Times New Roman" w:eastAsia="Times New Roman" w:hAnsi="Times New Roman" w:cs="Times New Roman"/>
                <w:i/>
                <w:iCs/>
                <w:sz w:val="20"/>
                <w:szCs w:val="20"/>
                <w:lang w:val="ru-RU" w:eastAsia="en-US"/>
              </w:rPr>
              <w:t xml:space="preserve"> вони </w:t>
            </w:r>
            <w:proofErr w:type="spellStart"/>
            <w:r>
              <w:rPr>
                <w:rFonts w:ascii="Times New Roman" w:eastAsia="Times New Roman" w:hAnsi="Times New Roman" w:cs="Times New Roman"/>
                <w:i/>
                <w:iCs/>
                <w:sz w:val="20"/>
                <w:szCs w:val="20"/>
                <w:lang w:val="ru-RU" w:eastAsia="en-US"/>
              </w:rPr>
              <w:t>вимагались</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замовником</w:t>
            </w:r>
            <w:proofErr w:type="spellEnd"/>
          </w:p>
        </w:tc>
        <w:tc>
          <w:tcPr>
            <w:tcW w:w="4814" w:type="dxa"/>
            <w:tcBorders>
              <w:top w:val="single" w:sz="4" w:space="0" w:color="auto"/>
              <w:left w:val="single" w:sz="4" w:space="0" w:color="auto"/>
              <w:bottom w:val="single" w:sz="4" w:space="0" w:color="auto"/>
              <w:right w:val="single" w:sz="4" w:space="0" w:color="auto"/>
            </w:tcBorders>
          </w:tcPr>
          <w:p w14:paraId="22BADDAD"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eastAsia="en-US"/>
              </w:rPr>
              <w:lastRenderedPageBreak/>
              <w:t xml:space="preserve">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 </w:t>
            </w:r>
            <w:proofErr w:type="spellStart"/>
            <w:proofErr w:type="gramStart"/>
            <w:r>
              <w:rPr>
                <w:rFonts w:ascii="Times New Roman" w:eastAsia="Times New Roman" w:hAnsi="Times New Roman" w:cs="Times New Roman"/>
                <w:sz w:val="20"/>
                <w:szCs w:val="20"/>
                <w:lang w:val="ru-RU" w:eastAsia="en-US"/>
              </w:rPr>
              <w:t>Обов»язкова</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вимога</w:t>
            </w:r>
            <w:proofErr w:type="spellEnd"/>
            <w:r>
              <w:rPr>
                <w:rFonts w:ascii="Times New Roman" w:eastAsia="Times New Roman" w:hAnsi="Times New Roman" w:cs="Times New Roman"/>
                <w:sz w:val="20"/>
                <w:szCs w:val="20"/>
                <w:lang w:val="ru-RU" w:eastAsia="en-US"/>
              </w:rPr>
              <w:t xml:space="preserve"> до </w:t>
            </w:r>
            <w:proofErr w:type="spellStart"/>
            <w:r>
              <w:rPr>
                <w:rFonts w:ascii="Times New Roman" w:eastAsia="Times New Roman" w:hAnsi="Times New Roman" w:cs="Times New Roman"/>
                <w:sz w:val="20"/>
                <w:szCs w:val="20"/>
                <w:lang w:val="ru-RU" w:eastAsia="en-US"/>
              </w:rPr>
              <w:t>Учасника</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щодо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наявності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матеріально-технічної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бази</w:t>
            </w:r>
            <w:proofErr w:type="spell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офісу</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складського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приміщення</w:t>
            </w:r>
            <w:proofErr w:type="spellEnd"/>
            <w:r>
              <w:rPr>
                <w:rFonts w:ascii="Times New Roman" w:eastAsia="Times New Roman" w:hAnsi="Times New Roman" w:cs="Times New Roman"/>
                <w:sz w:val="20"/>
                <w:szCs w:val="20"/>
                <w:lang w:val="ru-RU" w:eastAsia="en-US"/>
              </w:rPr>
              <w:t>).</w:t>
            </w:r>
          </w:p>
          <w:p w14:paraId="75D70DF6"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Мінімальна</w:t>
            </w:r>
            <w:proofErr w:type="spellEnd"/>
            <w:r>
              <w:rPr>
                <w:rFonts w:ascii="Times New Roman" w:eastAsia="Times New Roman" w:hAnsi="Times New Roman" w:cs="Times New Roman"/>
                <w:sz w:val="20"/>
                <w:szCs w:val="20"/>
                <w:lang w:val="ru-RU" w:eastAsia="en-US"/>
              </w:rPr>
              <w:t xml:space="preserve"> потреба в </w:t>
            </w:r>
            <w:proofErr w:type="spellStart"/>
            <w:r>
              <w:rPr>
                <w:rFonts w:ascii="Times New Roman" w:eastAsia="Times New Roman" w:hAnsi="Times New Roman" w:cs="Times New Roman"/>
                <w:sz w:val="20"/>
                <w:szCs w:val="20"/>
                <w:lang w:val="ru-RU" w:eastAsia="en-US"/>
              </w:rPr>
              <w:t>основних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машинах, </w:t>
            </w:r>
            <w:proofErr w:type="spellStart"/>
            <w:proofErr w:type="gramStart"/>
            <w:r>
              <w:rPr>
                <w:rFonts w:ascii="Times New Roman" w:eastAsia="Times New Roman" w:hAnsi="Times New Roman" w:cs="Times New Roman"/>
                <w:sz w:val="20"/>
                <w:szCs w:val="20"/>
                <w:lang w:val="ru-RU" w:eastAsia="en-US"/>
              </w:rPr>
              <w:t>механізмах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транспортних</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засобах</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обладнанні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необхідні</w:t>
            </w:r>
            <w:proofErr w:type="spellEnd"/>
            <w:r>
              <w:rPr>
                <w:rFonts w:ascii="Times New Roman" w:eastAsia="Times New Roman" w:hAnsi="Times New Roman" w:cs="Times New Roman"/>
                <w:sz w:val="20"/>
                <w:szCs w:val="20"/>
                <w:lang w:val="ru-RU" w:eastAsia="en-US"/>
              </w:rPr>
              <w:t xml:space="preserve"> для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робіт</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закуповуються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впідсумкової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відомості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ресурсів</w:t>
            </w:r>
            <w:proofErr w:type="spellEnd"/>
            <w:r>
              <w:rPr>
                <w:rFonts w:ascii="Times New Roman" w:eastAsia="Times New Roman" w:hAnsi="Times New Roman" w:cs="Times New Roman"/>
                <w:sz w:val="20"/>
                <w:szCs w:val="20"/>
                <w:lang w:val="ru-RU" w:eastAsia="en-US"/>
              </w:rPr>
              <w:t>):</w:t>
            </w:r>
          </w:p>
          <w:p w14:paraId="563F8795"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Кран  -</w:t>
            </w:r>
            <w:proofErr w:type="gramEnd"/>
            <w:r>
              <w:rPr>
                <w:rFonts w:ascii="Times New Roman" w:eastAsia="Times New Roman" w:hAnsi="Times New Roman" w:cs="Times New Roman"/>
                <w:sz w:val="20"/>
                <w:szCs w:val="20"/>
                <w:lang w:val="ru-RU" w:eastAsia="en-US"/>
              </w:rPr>
              <w:t xml:space="preserve">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5E414AA6"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навантажувач</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09D9B540"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w:t>
            </w:r>
            <w:proofErr w:type="spellStart"/>
            <w:r>
              <w:rPr>
                <w:rFonts w:ascii="Times New Roman" w:eastAsia="Times New Roman" w:hAnsi="Times New Roman" w:cs="Times New Roman"/>
                <w:sz w:val="20"/>
                <w:szCs w:val="20"/>
                <w:lang w:val="ru-RU" w:eastAsia="en-US"/>
              </w:rPr>
              <w:t>екскаватор</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000AFDCB"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
          <w:p w14:paraId="40B7084C"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вантажні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самоски</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48C62440"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автомобіль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вантажний</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74698E27"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дрилі</w:t>
            </w:r>
            <w:proofErr w:type="spellEnd"/>
            <w:r>
              <w:rPr>
                <w:rFonts w:ascii="Times New Roman" w:eastAsia="Times New Roman" w:hAnsi="Times New Roman" w:cs="Times New Roman"/>
                <w:sz w:val="20"/>
                <w:szCs w:val="20"/>
                <w:lang w:val="ru-RU" w:eastAsia="en-US"/>
              </w:rPr>
              <w:t xml:space="preserve"> </w:t>
            </w:r>
            <w:proofErr w:type="spellStart"/>
            <w:proofErr w:type="gramStart"/>
            <w:r>
              <w:rPr>
                <w:rFonts w:ascii="Times New Roman" w:eastAsia="Times New Roman" w:hAnsi="Times New Roman" w:cs="Times New Roman"/>
                <w:sz w:val="20"/>
                <w:szCs w:val="20"/>
                <w:lang w:val="ru-RU" w:eastAsia="en-US"/>
              </w:rPr>
              <w:t>електричні</w:t>
            </w:r>
            <w:proofErr w:type="spellEnd"/>
            <w:r>
              <w:rPr>
                <w:rFonts w:ascii="Times New Roman" w:eastAsia="Times New Roman" w:hAnsi="Times New Roman" w:cs="Times New Roman"/>
                <w:sz w:val="20"/>
                <w:szCs w:val="20"/>
                <w:lang w:val="ru-RU" w:eastAsia="en-US"/>
              </w:rPr>
              <w:t xml:space="preserve">  -</w:t>
            </w:r>
            <w:proofErr w:type="gramEnd"/>
            <w:r>
              <w:rPr>
                <w:rFonts w:ascii="Times New Roman" w:eastAsia="Times New Roman" w:hAnsi="Times New Roman" w:cs="Times New Roman"/>
                <w:sz w:val="20"/>
                <w:szCs w:val="20"/>
                <w:lang w:val="ru-RU" w:eastAsia="en-US"/>
              </w:rPr>
              <w:t xml:space="preserve">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107F6562"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перфоратор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026113C8"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шуруповерти</w:t>
            </w:r>
            <w:proofErr w:type="spell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61409574"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електрична</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кутова</w:t>
            </w:r>
            <w:proofErr w:type="spellEnd"/>
            <w:r>
              <w:rPr>
                <w:rFonts w:ascii="Times New Roman" w:eastAsia="Times New Roman" w:hAnsi="Times New Roman" w:cs="Times New Roman"/>
                <w:sz w:val="20"/>
                <w:szCs w:val="20"/>
                <w:lang w:val="ru-RU" w:eastAsia="en-US"/>
              </w:rPr>
              <w:t xml:space="preserve"> машина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05B26D05"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відбійний</w:t>
            </w:r>
            <w:proofErr w:type="spellEnd"/>
            <w:r>
              <w:rPr>
                <w:rFonts w:ascii="Times New Roman" w:eastAsia="Times New Roman" w:hAnsi="Times New Roman" w:cs="Times New Roman"/>
                <w:sz w:val="20"/>
                <w:szCs w:val="20"/>
                <w:lang w:val="ru-RU" w:eastAsia="en-US"/>
              </w:rPr>
              <w:t xml:space="preserve"> молоток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2 </w:t>
            </w:r>
            <w:proofErr w:type="spellStart"/>
            <w:r>
              <w:rPr>
                <w:rFonts w:ascii="Times New Roman" w:eastAsia="Times New Roman" w:hAnsi="Times New Roman" w:cs="Times New Roman"/>
                <w:sz w:val="20"/>
                <w:szCs w:val="20"/>
                <w:lang w:val="ru-RU" w:eastAsia="en-US"/>
              </w:rPr>
              <w:t>одиниць</w:t>
            </w:r>
            <w:proofErr w:type="spellEnd"/>
            <w:r>
              <w:rPr>
                <w:rFonts w:ascii="Times New Roman" w:eastAsia="Times New Roman" w:hAnsi="Times New Roman" w:cs="Times New Roman"/>
                <w:sz w:val="20"/>
                <w:szCs w:val="20"/>
                <w:lang w:val="ru-RU" w:eastAsia="en-US"/>
              </w:rPr>
              <w:t>;</w:t>
            </w:r>
          </w:p>
          <w:p w14:paraId="290D162F"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аппарат </w:t>
            </w:r>
            <w:proofErr w:type="gramStart"/>
            <w:r>
              <w:rPr>
                <w:rFonts w:ascii="Times New Roman" w:eastAsia="Times New Roman" w:hAnsi="Times New Roman" w:cs="Times New Roman"/>
                <w:sz w:val="20"/>
                <w:szCs w:val="20"/>
                <w:lang w:val="ru-RU" w:eastAsia="en-US"/>
              </w:rPr>
              <w:t xml:space="preserve">для  </w:t>
            </w:r>
            <w:proofErr w:type="spellStart"/>
            <w:r>
              <w:rPr>
                <w:rFonts w:ascii="Times New Roman" w:eastAsia="Times New Roman" w:hAnsi="Times New Roman" w:cs="Times New Roman"/>
                <w:sz w:val="20"/>
                <w:szCs w:val="20"/>
                <w:lang w:val="ru-RU" w:eastAsia="en-US"/>
              </w:rPr>
              <w:t>зварювання</w:t>
            </w:r>
            <w:proofErr w:type="spellEnd"/>
            <w:proofErr w:type="gramEnd"/>
            <w:r>
              <w:rPr>
                <w:rFonts w:ascii="Times New Roman" w:eastAsia="Times New Roman" w:hAnsi="Times New Roman" w:cs="Times New Roman"/>
                <w:sz w:val="20"/>
                <w:szCs w:val="20"/>
                <w:lang w:val="ru-RU" w:eastAsia="en-US"/>
              </w:rPr>
              <w:t xml:space="preserve">  – не </w:t>
            </w:r>
            <w:proofErr w:type="spellStart"/>
            <w:r>
              <w:rPr>
                <w:rFonts w:ascii="Times New Roman" w:eastAsia="Times New Roman" w:hAnsi="Times New Roman" w:cs="Times New Roman"/>
                <w:sz w:val="20"/>
                <w:szCs w:val="20"/>
                <w:lang w:val="ru-RU" w:eastAsia="en-US"/>
              </w:rPr>
              <w:t>менше</w:t>
            </w:r>
            <w:proofErr w:type="spellEnd"/>
            <w:r>
              <w:rPr>
                <w:rFonts w:ascii="Times New Roman" w:eastAsia="Times New Roman" w:hAnsi="Times New Roman" w:cs="Times New Roman"/>
                <w:sz w:val="20"/>
                <w:szCs w:val="20"/>
                <w:lang w:val="ru-RU" w:eastAsia="en-US"/>
              </w:rPr>
              <w:t xml:space="preserve"> 1 </w:t>
            </w:r>
            <w:proofErr w:type="spellStart"/>
            <w:r>
              <w:rPr>
                <w:rFonts w:ascii="Times New Roman" w:eastAsia="Times New Roman" w:hAnsi="Times New Roman" w:cs="Times New Roman"/>
                <w:sz w:val="20"/>
                <w:szCs w:val="20"/>
                <w:lang w:val="ru-RU" w:eastAsia="en-US"/>
              </w:rPr>
              <w:t>одиниці</w:t>
            </w:r>
            <w:proofErr w:type="spellEnd"/>
            <w:r>
              <w:rPr>
                <w:rFonts w:ascii="Times New Roman" w:eastAsia="Times New Roman" w:hAnsi="Times New Roman" w:cs="Times New Roman"/>
                <w:sz w:val="20"/>
                <w:szCs w:val="20"/>
                <w:lang w:val="ru-RU" w:eastAsia="en-US"/>
              </w:rPr>
              <w:t>;</w:t>
            </w:r>
          </w:p>
          <w:p w14:paraId="7618D9D8"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
          <w:p w14:paraId="326A2C54"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Для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інформації</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наявність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матеріально-технічної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бази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повинен </w:t>
            </w:r>
            <w:proofErr w:type="spellStart"/>
            <w:r>
              <w:rPr>
                <w:rFonts w:ascii="Times New Roman" w:eastAsia="Times New Roman" w:hAnsi="Times New Roman" w:cs="Times New Roman"/>
                <w:sz w:val="20"/>
                <w:szCs w:val="20"/>
                <w:lang w:val="ru-RU" w:eastAsia="en-US"/>
              </w:rPr>
              <w:t>надати</w:t>
            </w:r>
            <w:proofErr w:type="spellEnd"/>
            <w:r>
              <w:rPr>
                <w:rFonts w:ascii="Times New Roman" w:eastAsia="Times New Roman" w:hAnsi="Times New Roman" w:cs="Times New Roman"/>
                <w:sz w:val="20"/>
                <w:szCs w:val="20"/>
                <w:lang w:val="ru-RU" w:eastAsia="en-US"/>
              </w:rPr>
              <w:t>:</w:t>
            </w:r>
          </w:p>
          <w:p w14:paraId="2E336BE8"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lastRenderedPageBreak/>
              <w:t xml:space="preserve">- у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зазначеної</w:t>
            </w:r>
            <w:proofErr w:type="spellEnd"/>
            <w:r>
              <w:rPr>
                <w:rFonts w:ascii="Times New Roman" w:eastAsia="Times New Roman" w:hAnsi="Times New Roman" w:cs="Times New Roman"/>
                <w:sz w:val="20"/>
                <w:szCs w:val="20"/>
                <w:lang w:val="ru-RU" w:eastAsia="en-US"/>
              </w:rPr>
              <w:t xml:space="preserve"> в </w:t>
            </w:r>
            <w:proofErr w:type="spellStart"/>
            <w:r>
              <w:rPr>
                <w:rFonts w:ascii="Times New Roman" w:eastAsia="Times New Roman" w:hAnsi="Times New Roman" w:cs="Times New Roman"/>
                <w:sz w:val="20"/>
                <w:szCs w:val="20"/>
                <w:lang w:val="ru-RU" w:eastAsia="en-US"/>
              </w:rPr>
              <w:t>довідці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надає</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посвідчені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w:t>
            </w:r>
            <w:proofErr w:type="spellEnd"/>
            <w:r>
              <w:rPr>
                <w:rFonts w:ascii="Times New Roman" w:eastAsia="Times New Roman" w:hAnsi="Times New Roman" w:cs="Times New Roman"/>
                <w:sz w:val="20"/>
                <w:szCs w:val="20"/>
                <w:lang w:val="ru-RU" w:eastAsia="en-US"/>
              </w:rPr>
              <w:t xml:space="preserve"> до умов </w:t>
            </w:r>
            <w:proofErr w:type="spellStart"/>
            <w:r>
              <w:rPr>
                <w:rFonts w:ascii="Times New Roman" w:eastAsia="Times New Roman" w:hAnsi="Times New Roman" w:cs="Times New Roman"/>
                <w:sz w:val="20"/>
                <w:szCs w:val="20"/>
                <w:lang w:val="ru-RU" w:eastAsia="en-US"/>
              </w:rPr>
              <w:t>оголошення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чи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свідоцтв</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реєстрацію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 та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перебування</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обліку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дорожні</w:t>
            </w:r>
            <w:proofErr w:type="spellEnd"/>
            <w:proofErr w:type="gram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не </w:t>
            </w:r>
            <w:proofErr w:type="spellStart"/>
            <w:r>
              <w:rPr>
                <w:rFonts w:ascii="Times New Roman" w:eastAsia="Times New Roman" w:hAnsi="Times New Roman" w:cs="Times New Roman"/>
                <w:sz w:val="20"/>
                <w:szCs w:val="20"/>
                <w:lang w:val="ru-RU" w:eastAsia="en-US"/>
              </w:rPr>
              <w:t>підлягають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державній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реєстрації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інший</w:t>
            </w:r>
            <w:proofErr w:type="spellEnd"/>
            <w:r>
              <w:rPr>
                <w:rFonts w:ascii="Times New Roman" w:eastAsia="Times New Roman" w:hAnsi="Times New Roman" w:cs="Times New Roman"/>
                <w:sz w:val="20"/>
                <w:szCs w:val="20"/>
                <w:lang w:val="ru-RU" w:eastAsia="en-US"/>
              </w:rPr>
              <w:t xml:space="preserve"> документ,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посвідчує</w:t>
            </w:r>
            <w:proofErr w:type="spellEnd"/>
            <w:r>
              <w:rPr>
                <w:rFonts w:ascii="Times New Roman" w:eastAsia="Times New Roman" w:hAnsi="Times New Roman" w:cs="Times New Roman"/>
                <w:sz w:val="20"/>
                <w:szCs w:val="20"/>
                <w:lang w:val="ru-RU" w:eastAsia="en-US"/>
              </w:rPr>
              <w:t xml:space="preserve"> право </w:t>
            </w:r>
            <w:proofErr w:type="spellStart"/>
            <w:r>
              <w:rPr>
                <w:rFonts w:ascii="Times New Roman" w:eastAsia="Times New Roman" w:hAnsi="Times New Roman" w:cs="Times New Roman"/>
                <w:sz w:val="20"/>
                <w:szCs w:val="20"/>
                <w:lang w:val="ru-RU" w:eastAsia="en-US"/>
              </w:rPr>
              <w:t>власності</w:t>
            </w:r>
            <w:proofErr w:type="spell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обліку</w:t>
            </w:r>
            <w:proofErr w:type="spellEnd"/>
            <w:r>
              <w:rPr>
                <w:rFonts w:ascii="Times New Roman" w:eastAsia="Times New Roman" w:hAnsi="Times New Roman" w:cs="Times New Roman"/>
                <w:sz w:val="20"/>
                <w:szCs w:val="20"/>
                <w:lang w:val="ru-RU" w:eastAsia="en-US"/>
              </w:rPr>
              <w:t xml:space="preserve">)-  </w:t>
            </w:r>
            <w:r>
              <w:rPr>
                <w:rFonts w:ascii="Times New Roman" w:eastAsia="Times New Roman" w:hAnsi="Times New Roman" w:cs="Times New Roman"/>
                <w:b/>
                <w:bCs/>
                <w:sz w:val="20"/>
                <w:szCs w:val="20"/>
                <w:u w:val="single"/>
                <w:lang w:val="ru-RU" w:eastAsia="en-US"/>
              </w:rPr>
              <w:t xml:space="preserve">за </w:t>
            </w:r>
            <w:proofErr w:type="spellStart"/>
            <w:r>
              <w:rPr>
                <w:rFonts w:ascii="Times New Roman" w:eastAsia="Times New Roman" w:hAnsi="Times New Roman" w:cs="Times New Roman"/>
                <w:b/>
                <w:bCs/>
                <w:sz w:val="20"/>
                <w:szCs w:val="20"/>
                <w:u w:val="single"/>
                <w:lang w:val="ru-RU" w:eastAsia="en-US"/>
              </w:rPr>
              <w:t>підписом</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керівника</w:t>
            </w:r>
            <w:proofErr w:type="spellEnd"/>
            <w:r>
              <w:rPr>
                <w:rFonts w:ascii="Times New Roman" w:eastAsia="Times New Roman" w:hAnsi="Times New Roman" w:cs="Times New Roman"/>
                <w:b/>
                <w:bCs/>
                <w:sz w:val="20"/>
                <w:szCs w:val="20"/>
                <w:u w:val="single"/>
                <w:lang w:val="ru-RU" w:eastAsia="en-US"/>
              </w:rPr>
              <w:t xml:space="preserve"> та головного бухгалтера/бухгалтера оборотно-</w:t>
            </w:r>
            <w:proofErr w:type="spellStart"/>
            <w:r>
              <w:rPr>
                <w:rFonts w:ascii="Times New Roman" w:eastAsia="Times New Roman" w:hAnsi="Times New Roman" w:cs="Times New Roman"/>
                <w:b/>
                <w:bCs/>
                <w:sz w:val="20"/>
                <w:szCs w:val="20"/>
                <w:u w:val="single"/>
                <w:lang w:val="ru-RU" w:eastAsia="en-US"/>
              </w:rPr>
              <w:t>сальдові</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відомості</w:t>
            </w:r>
            <w:proofErr w:type="spellEnd"/>
            <w:r>
              <w:rPr>
                <w:rFonts w:ascii="Times New Roman" w:eastAsia="Times New Roman" w:hAnsi="Times New Roman" w:cs="Times New Roman"/>
                <w:b/>
                <w:bCs/>
                <w:sz w:val="20"/>
                <w:szCs w:val="20"/>
                <w:u w:val="single"/>
                <w:lang w:val="ru-RU" w:eastAsia="en-US"/>
              </w:rPr>
              <w:t xml:space="preserve"> по </w:t>
            </w:r>
            <w:proofErr w:type="spellStart"/>
            <w:r>
              <w:rPr>
                <w:rFonts w:ascii="Times New Roman" w:eastAsia="Times New Roman" w:hAnsi="Times New Roman" w:cs="Times New Roman"/>
                <w:b/>
                <w:bCs/>
                <w:sz w:val="20"/>
                <w:szCs w:val="20"/>
                <w:u w:val="single"/>
                <w:lang w:val="ru-RU" w:eastAsia="en-US"/>
              </w:rPr>
              <w:t>рахункам</w:t>
            </w:r>
            <w:proofErr w:type="spellEnd"/>
            <w:r>
              <w:rPr>
                <w:rFonts w:ascii="Times New Roman" w:eastAsia="Times New Roman" w:hAnsi="Times New Roman" w:cs="Times New Roman"/>
                <w:b/>
                <w:bCs/>
                <w:sz w:val="20"/>
                <w:szCs w:val="20"/>
                <w:u w:val="single"/>
                <w:lang w:val="ru-RU" w:eastAsia="en-US"/>
              </w:rPr>
              <w:t xml:space="preserve"> 10, 11</w:t>
            </w:r>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знаходження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основних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необоротних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активів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включені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учасником</w:t>
            </w:r>
            <w:proofErr w:type="spellEnd"/>
            <w:r>
              <w:rPr>
                <w:rFonts w:ascii="Times New Roman" w:eastAsia="Times New Roman" w:hAnsi="Times New Roman" w:cs="Times New Roman"/>
                <w:sz w:val="20"/>
                <w:szCs w:val="20"/>
                <w:lang w:val="ru-RU" w:eastAsia="en-US"/>
              </w:rPr>
              <w:t xml:space="preserve"> до </w:t>
            </w:r>
            <w:proofErr w:type="spellStart"/>
            <w:r>
              <w:rPr>
                <w:rFonts w:ascii="Times New Roman" w:eastAsia="Times New Roman" w:hAnsi="Times New Roman" w:cs="Times New Roman"/>
                <w:sz w:val="20"/>
                <w:szCs w:val="20"/>
                <w:lang w:val="ru-RU" w:eastAsia="en-US"/>
              </w:rPr>
              <w:t>таблиці</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балансі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учасника</w:t>
            </w:r>
            <w:proofErr w:type="spellEnd"/>
            <w:r>
              <w:rPr>
                <w:rFonts w:ascii="Times New Roman" w:eastAsia="Times New Roman" w:hAnsi="Times New Roman" w:cs="Times New Roman"/>
                <w:sz w:val="20"/>
                <w:szCs w:val="20"/>
                <w:lang w:val="ru-RU" w:eastAsia="en-US"/>
              </w:rPr>
              <w:t>;</w:t>
            </w:r>
          </w:p>
          <w:p w14:paraId="05BF7183"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якщо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дорожні</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r>
              <w:rPr>
                <w:rFonts w:ascii="Times New Roman" w:eastAsia="Times New Roman" w:hAnsi="Times New Roman" w:cs="Times New Roman"/>
                <w:b/>
                <w:bCs/>
                <w:sz w:val="20"/>
                <w:szCs w:val="20"/>
                <w:lang w:val="ru-RU" w:eastAsia="en-US"/>
              </w:rPr>
              <w:t xml:space="preserve">не є </w:t>
            </w:r>
            <w:proofErr w:type="spellStart"/>
            <w:r>
              <w:rPr>
                <w:rFonts w:ascii="Times New Roman" w:eastAsia="Times New Roman" w:hAnsi="Times New Roman" w:cs="Times New Roman"/>
                <w:b/>
                <w:bCs/>
                <w:sz w:val="20"/>
                <w:szCs w:val="20"/>
                <w:lang w:val="ru-RU" w:eastAsia="en-US"/>
              </w:rPr>
              <w:t>власністю</w:t>
            </w:r>
            <w:proofErr w:type="spellEnd"/>
            <w:r>
              <w:rPr>
                <w:rFonts w:ascii="Times New Roman" w:eastAsia="Times New Roman" w:hAnsi="Times New Roman" w:cs="Times New Roman"/>
                <w:b/>
                <w:bCs/>
                <w:sz w:val="20"/>
                <w:szCs w:val="20"/>
                <w:lang w:val="ru-RU" w:eastAsia="en-US"/>
              </w:rPr>
              <w:t xml:space="preserve"> </w:t>
            </w:r>
            <w:proofErr w:type="spellStart"/>
            <w:r>
              <w:rPr>
                <w:rFonts w:ascii="Times New Roman" w:eastAsia="Times New Roman" w:hAnsi="Times New Roman" w:cs="Times New Roman"/>
                <w:b/>
                <w:bCs/>
                <w:sz w:val="20"/>
                <w:szCs w:val="20"/>
                <w:lang w:val="ru-RU" w:eastAsia="en-US"/>
              </w:rPr>
              <w:t>учасника</w:t>
            </w:r>
            <w:proofErr w:type="spellEnd"/>
            <w:r>
              <w:rPr>
                <w:rFonts w:ascii="Times New Roman" w:eastAsia="Times New Roman" w:hAnsi="Times New Roman" w:cs="Times New Roman"/>
                <w:b/>
                <w:bCs/>
                <w:sz w:val="20"/>
                <w:szCs w:val="20"/>
                <w:lang w:val="ru-RU" w:eastAsia="en-US"/>
              </w:rPr>
              <w:t xml:space="preserve">, а </w:t>
            </w:r>
            <w:proofErr w:type="spellStart"/>
            <w:r>
              <w:rPr>
                <w:rFonts w:ascii="Times New Roman" w:eastAsia="Times New Roman" w:hAnsi="Times New Roman" w:cs="Times New Roman"/>
                <w:b/>
                <w:bCs/>
                <w:sz w:val="20"/>
                <w:szCs w:val="20"/>
                <w:lang w:val="ru-RU" w:eastAsia="en-US"/>
              </w:rPr>
              <w:t>залучені</w:t>
            </w:r>
            <w:proofErr w:type="spellEnd"/>
            <w:r>
              <w:rPr>
                <w:rFonts w:ascii="Times New Roman" w:eastAsia="Times New Roman" w:hAnsi="Times New Roman" w:cs="Times New Roman"/>
                <w:sz w:val="20"/>
                <w:szCs w:val="20"/>
                <w:lang w:val="ru-RU" w:eastAsia="en-US"/>
              </w:rPr>
              <w:t xml:space="preserve"> ( </w:t>
            </w:r>
            <w:proofErr w:type="spellStart"/>
            <w:r>
              <w:rPr>
                <w:rFonts w:ascii="Times New Roman" w:eastAsia="Times New Roman" w:hAnsi="Times New Roman" w:cs="Times New Roman"/>
                <w:sz w:val="20"/>
                <w:szCs w:val="20"/>
                <w:lang w:val="ru-RU" w:eastAsia="en-US"/>
              </w:rPr>
              <w:t>договір</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оренди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лізингу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в </w:t>
            </w:r>
            <w:proofErr w:type="spellStart"/>
            <w:r>
              <w:rPr>
                <w:rFonts w:ascii="Times New Roman" w:eastAsia="Times New Roman" w:hAnsi="Times New Roman" w:cs="Times New Roman"/>
                <w:sz w:val="20"/>
                <w:szCs w:val="20"/>
                <w:lang w:val="ru-RU" w:eastAsia="en-US"/>
              </w:rPr>
              <w:t>інший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спосіб</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визначений</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законодавством</w:t>
            </w:r>
            <w:proofErr w:type="spellEnd"/>
            <w:r>
              <w:rPr>
                <w:rFonts w:ascii="Times New Roman" w:eastAsia="Times New Roman" w:hAnsi="Times New Roman" w:cs="Times New Roman"/>
                <w:sz w:val="20"/>
                <w:szCs w:val="20"/>
                <w:lang w:val="ru-RU" w:eastAsia="en-US"/>
              </w:rPr>
              <w:t xml:space="preserve">), то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всі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вказані</w:t>
            </w:r>
            <w:proofErr w:type="spellEnd"/>
            <w:r>
              <w:rPr>
                <w:rFonts w:ascii="Times New Roman" w:eastAsia="Times New Roman" w:hAnsi="Times New Roman" w:cs="Times New Roman"/>
                <w:sz w:val="20"/>
                <w:szCs w:val="20"/>
                <w:lang w:val="ru-RU" w:eastAsia="en-US"/>
              </w:rPr>
              <w:t xml:space="preserve"> в </w:t>
            </w:r>
            <w:proofErr w:type="spellStart"/>
            <w:r>
              <w:rPr>
                <w:rFonts w:ascii="Times New Roman" w:eastAsia="Times New Roman" w:hAnsi="Times New Roman" w:cs="Times New Roman"/>
                <w:sz w:val="20"/>
                <w:szCs w:val="20"/>
                <w:lang w:val="ru-RU" w:eastAsia="en-US"/>
              </w:rPr>
              <w:t>довідці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додатково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подаються</w:t>
            </w:r>
            <w:proofErr w:type="spellEnd"/>
            <w:r>
              <w:rPr>
                <w:rFonts w:ascii="Times New Roman" w:eastAsia="Times New Roman" w:hAnsi="Times New Roman" w:cs="Times New Roman"/>
                <w:sz w:val="20"/>
                <w:szCs w:val="20"/>
                <w:lang w:val="ru-RU" w:eastAsia="en-US"/>
              </w:rPr>
              <w:t>:</w:t>
            </w:r>
          </w:p>
          <w:p w14:paraId="1C7253FB"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1) </w:t>
            </w:r>
            <w:proofErr w:type="spellStart"/>
            <w:r>
              <w:rPr>
                <w:rFonts w:ascii="Times New Roman" w:eastAsia="Times New Roman" w:hAnsi="Times New Roman" w:cs="Times New Roman"/>
                <w:sz w:val="20"/>
                <w:szCs w:val="20"/>
                <w:lang w:val="ru-RU" w:eastAsia="en-US"/>
              </w:rPr>
              <w:t>завірені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скановані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дійсних</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чинних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протягом</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всього</w:t>
            </w:r>
            <w:proofErr w:type="spellEnd"/>
            <w:r>
              <w:rPr>
                <w:rFonts w:ascii="Times New Roman" w:eastAsia="Times New Roman" w:hAnsi="Times New Roman" w:cs="Times New Roman"/>
                <w:sz w:val="20"/>
                <w:szCs w:val="20"/>
                <w:lang w:val="ru-RU" w:eastAsia="en-US"/>
              </w:rPr>
              <w:t xml:space="preserve"> строку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договору про </w:t>
            </w:r>
            <w:proofErr w:type="spellStart"/>
            <w:r>
              <w:rPr>
                <w:rFonts w:ascii="Times New Roman" w:eastAsia="Times New Roman" w:hAnsi="Times New Roman" w:cs="Times New Roman"/>
                <w:sz w:val="20"/>
                <w:szCs w:val="20"/>
                <w:lang w:val="ru-RU" w:eastAsia="en-US"/>
              </w:rPr>
              <w:t>закупівлю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договорів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оренди</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лізингу</w:t>
            </w:r>
            <w:proofErr w:type="spellEnd"/>
            <w:proofErr w:type="gram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інших</w:t>
            </w:r>
            <w:proofErr w:type="spellEnd"/>
            <w:r>
              <w:rPr>
                <w:rFonts w:ascii="Times New Roman" w:eastAsia="Times New Roman" w:hAnsi="Times New Roman" w:cs="Times New Roman"/>
                <w:sz w:val="20"/>
                <w:szCs w:val="20"/>
                <w:lang w:val="ru-RU" w:eastAsia="en-US"/>
              </w:rPr>
              <w:t xml:space="preserve"> ( договори,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посвідчують</w:t>
            </w:r>
            <w:proofErr w:type="spellEnd"/>
            <w:r>
              <w:rPr>
                <w:rFonts w:ascii="Times New Roman" w:eastAsia="Times New Roman" w:hAnsi="Times New Roman" w:cs="Times New Roman"/>
                <w:sz w:val="20"/>
                <w:szCs w:val="20"/>
                <w:lang w:val="ru-RU" w:eastAsia="en-US"/>
              </w:rPr>
              <w:t xml:space="preserve"> право </w:t>
            </w:r>
            <w:proofErr w:type="spellStart"/>
            <w:r>
              <w:rPr>
                <w:rFonts w:ascii="Times New Roman" w:eastAsia="Times New Roman" w:hAnsi="Times New Roman" w:cs="Times New Roman"/>
                <w:sz w:val="20"/>
                <w:szCs w:val="20"/>
                <w:lang w:val="ru-RU" w:eastAsia="en-US"/>
              </w:rPr>
              <w:t>користування</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всі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вказані</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довідці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машини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механізми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надані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учасником</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складі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пропозиції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мають</w:t>
            </w:r>
            <w:proofErr w:type="spellEnd"/>
            <w:r>
              <w:rPr>
                <w:rFonts w:ascii="Times New Roman" w:eastAsia="Times New Roman" w:hAnsi="Times New Roman" w:cs="Times New Roman"/>
                <w:sz w:val="20"/>
                <w:szCs w:val="20"/>
                <w:lang w:val="ru-RU" w:eastAsia="en-US"/>
              </w:rPr>
              <w:t xml:space="preserve"> бути </w:t>
            </w:r>
            <w:proofErr w:type="spellStart"/>
            <w:r>
              <w:rPr>
                <w:rFonts w:ascii="Times New Roman" w:eastAsia="Times New Roman" w:hAnsi="Times New Roman" w:cs="Times New Roman"/>
                <w:sz w:val="20"/>
                <w:szCs w:val="20"/>
                <w:lang w:val="ru-RU" w:eastAsia="en-US"/>
              </w:rPr>
              <w:t>укладені</w:t>
            </w:r>
            <w:proofErr w:type="spellEnd"/>
            <w:r>
              <w:rPr>
                <w:rFonts w:ascii="Times New Roman" w:eastAsia="Times New Roman" w:hAnsi="Times New Roman" w:cs="Times New Roman"/>
                <w:sz w:val="20"/>
                <w:szCs w:val="20"/>
                <w:lang w:val="ru-RU" w:eastAsia="en-US"/>
              </w:rPr>
              <w:t xml:space="preserve"> на строк,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дорівнює</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перевищує</w:t>
            </w:r>
            <w:proofErr w:type="spellEnd"/>
            <w:r>
              <w:rPr>
                <w:rFonts w:ascii="Times New Roman" w:eastAsia="Times New Roman" w:hAnsi="Times New Roman" w:cs="Times New Roman"/>
                <w:sz w:val="20"/>
                <w:szCs w:val="20"/>
                <w:lang w:val="ru-RU" w:eastAsia="en-US"/>
              </w:rPr>
              <w:t xml:space="preserve"> строк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договору про </w:t>
            </w:r>
            <w:proofErr w:type="spellStart"/>
            <w:r>
              <w:rPr>
                <w:rFonts w:ascii="Times New Roman" w:eastAsia="Times New Roman" w:hAnsi="Times New Roman" w:cs="Times New Roman"/>
                <w:sz w:val="20"/>
                <w:szCs w:val="20"/>
                <w:lang w:val="ru-RU" w:eastAsia="en-US"/>
              </w:rPr>
              <w:t>закупівлю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містити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умови</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можливість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його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пролонгації</w:t>
            </w:r>
            <w:proofErr w:type="spellEnd"/>
            <w:r>
              <w:rPr>
                <w:rFonts w:ascii="Times New Roman" w:eastAsia="Times New Roman" w:hAnsi="Times New Roman" w:cs="Times New Roman"/>
                <w:sz w:val="20"/>
                <w:szCs w:val="20"/>
                <w:lang w:val="ru-RU" w:eastAsia="en-US"/>
              </w:rPr>
              <w:t>);</w:t>
            </w:r>
          </w:p>
          <w:p w14:paraId="690C9029"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2) </w:t>
            </w:r>
            <w:proofErr w:type="spellStart"/>
            <w:r>
              <w:rPr>
                <w:rFonts w:ascii="Times New Roman" w:eastAsia="Times New Roman" w:hAnsi="Times New Roman" w:cs="Times New Roman"/>
                <w:sz w:val="20"/>
                <w:szCs w:val="20"/>
                <w:lang w:val="ru-RU" w:eastAsia="en-US"/>
              </w:rPr>
              <w:t>завірені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скановані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актів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приймання-передачі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учаснику</w:t>
            </w:r>
            <w:proofErr w:type="spellEnd"/>
            <w:r>
              <w:rPr>
                <w:rFonts w:ascii="Times New Roman" w:eastAsia="Times New Roman" w:hAnsi="Times New Roman" w:cs="Times New Roman"/>
                <w:sz w:val="20"/>
                <w:szCs w:val="20"/>
                <w:lang w:val="ru-RU" w:eastAsia="en-US"/>
              </w:rPr>
              <w:t xml:space="preserve"> таких </w:t>
            </w:r>
            <w:proofErr w:type="spellStart"/>
            <w:r>
              <w:rPr>
                <w:rFonts w:ascii="Times New Roman" w:eastAsia="Times New Roman" w:hAnsi="Times New Roman" w:cs="Times New Roman"/>
                <w:sz w:val="20"/>
                <w:szCs w:val="20"/>
                <w:lang w:val="ru-RU" w:eastAsia="en-US"/>
              </w:rPr>
              <w:t>транспортних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до </w:t>
            </w:r>
            <w:proofErr w:type="spellStart"/>
            <w:r>
              <w:rPr>
                <w:rFonts w:ascii="Times New Roman" w:eastAsia="Times New Roman" w:hAnsi="Times New Roman" w:cs="Times New Roman"/>
                <w:sz w:val="20"/>
                <w:szCs w:val="20"/>
                <w:lang w:val="ru-RU" w:eastAsia="en-US"/>
              </w:rPr>
              <w:t>договорів</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у</w:t>
            </w:r>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разі</w:t>
            </w:r>
            <w:proofErr w:type="spellEnd"/>
            <w:r>
              <w:rPr>
                <w:rFonts w:ascii="Times New Roman" w:eastAsia="Times New Roman" w:hAnsi="Times New Roman" w:cs="Times New Roman"/>
                <w:sz w:val="20"/>
                <w:szCs w:val="20"/>
                <w:lang w:val="ru-RU" w:eastAsia="en-US"/>
              </w:rPr>
              <w:t xml:space="preserve">, коли </w:t>
            </w:r>
            <w:proofErr w:type="spellStart"/>
            <w:r>
              <w:rPr>
                <w:rFonts w:ascii="Times New Roman" w:eastAsia="Times New Roman" w:hAnsi="Times New Roman" w:cs="Times New Roman"/>
                <w:sz w:val="20"/>
                <w:szCs w:val="20"/>
                <w:lang w:val="ru-RU" w:eastAsia="en-US"/>
              </w:rPr>
              <w:t>вимогами</w:t>
            </w:r>
            <w:proofErr w:type="spellEnd"/>
            <w:r>
              <w:rPr>
                <w:rFonts w:ascii="Times New Roman" w:eastAsia="Times New Roman" w:hAnsi="Times New Roman" w:cs="Times New Roman"/>
                <w:sz w:val="20"/>
                <w:szCs w:val="20"/>
                <w:lang w:val="ru-RU" w:eastAsia="en-US"/>
              </w:rPr>
              <w:t xml:space="preserve"> чинного </w:t>
            </w:r>
            <w:proofErr w:type="spellStart"/>
            <w:r>
              <w:rPr>
                <w:rFonts w:ascii="Times New Roman" w:eastAsia="Times New Roman" w:hAnsi="Times New Roman" w:cs="Times New Roman"/>
                <w:sz w:val="20"/>
                <w:szCs w:val="20"/>
                <w:lang w:val="ru-RU" w:eastAsia="en-US"/>
              </w:rPr>
              <w:t>законодавства</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України</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умовами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зазначених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договорів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передбачено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їх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складання</w:t>
            </w:r>
            <w:proofErr w:type="spellEnd"/>
            <w:r>
              <w:rPr>
                <w:rFonts w:ascii="Times New Roman" w:eastAsia="Times New Roman" w:hAnsi="Times New Roman" w:cs="Times New Roman"/>
                <w:sz w:val="20"/>
                <w:szCs w:val="20"/>
                <w:lang w:val="ru-RU" w:eastAsia="en-US"/>
              </w:rPr>
              <w:t xml:space="preserve">); </w:t>
            </w:r>
          </w:p>
          <w:p w14:paraId="220355C7"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3) </w:t>
            </w:r>
            <w:proofErr w:type="spellStart"/>
            <w:r>
              <w:rPr>
                <w:rFonts w:ascii="Times New Roman" w:eastAsia="Times New Roman" w:hAnsi="Times New Roman" w:cs="Times New Roman"/>
                <w:sz w:val="20"/>
                <w:szCs w:val="20"/>
                <w:lang w:val="ru-RU" w:eastAsia="en-US"/>
              </w:rPr>
              <w:t>завірені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скановані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копії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оригіналів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свідоцтв</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реєстрацію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транспортних</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засобів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будівельних</w:t>
            </w:r>
            <w:proofErr w:type="spellEnd"/>
            <w:r>
              <w:rPr>
                <w:rFonts w:ascii="Times New Roman" w:eastAsia="Times New Roman" w:hAnsi="Times New Roman" w:cs="Times New Roman"/>
                <w:sz w:val="20"/>
                <w:szCs w:val="20"/>
                <w:lang w:val="ru-RU" w:eastAsia="en-US"/>
              </w:rPr>
              <w:t xml:space="preserve"> машин та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тощо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інший</w:t>
            </w:r>
            <w:proofErr w:type="spellEnd"/>
            <w:r>
              <w:rPr>
                <w:rFonts w:ascii="Times New Roman" w:eastAsia="Times New Roman" w:hAnsi="Times New Roman" w:cs="Times New Roman"/>
                <w:sz w:val="20"/>
                <w:szCs w:val="20"/>
                <w:lang w:val="ru-RU" w:eastAsia="en-US"/>
              </w:rPr>
              <w:t xml:space="preserve"> документ, </w:t>
            </w:r>
            <w:proofErr w:type="spellStart"/>
            <w:r>
              <w:rPr>
                <w:rFonts w:ascii="Times New Roman" w:eastAsia="Times New Roman" w:hAnsi="Times New Roman" w:cs="Times New Roman"/>
                <w:sz w:val="20"/>
                <w:szCs w:val="20"/>
                <w:lang w:val="ru-RU" w:eastAsia="en-US"/>
              </w:rPr>
              <w:t>що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підтверджують</w:t>
            </w:r>
            <w:proofErr w:type="spellEnd"/>
            <w:r>
              <w:rPr>
                <w:rFonts w:ascii="Times New Roman" w:eastAsia="Times New Roman" w:hAnsi="Times New Roman" w:cs="Times New Roman"/>
                <w:sz w:val="20"/>
                <w:szCs w:val="20"/>
                <w:lang w:val="ru-RU" w:eastAsia="en-US"/>
              </w:rPr>
              <w:t xml:space="preserve"> право </w:t>
            </w:r>
            <w:proofErr w:type="spellStart"/>
            <w:r>
              <w:rPr>
                <w:rFonts w:ascii="Times New Roman" w:eastAsia="Times New Roman" w:hAnsi="Times New Roman" w:cs="Times New Roman"/>
                <w:sz w:val="20"/>
                <w:szCs w:val="20"/>
                <w:lang w:val="ru-RU" w:eastAsia="en-US"/>
              </w:rPr>
              <w:t>власності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орендодавця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лізингодавця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або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іншої</w:t>
            </w:r>
            <w:proofErr w:type="spellEnd"/>
            <w:r>
              <w:rPr>
                <w:rFonts w:ascii="Times New Roman" w:eastAsia="Times New Roman" w:hAnsi="Times New Roman" w:cs="Times New Roman"/>
                <w:sz w:val="20"/>
                <w:szCs w:val="20"/>
                <w:lang w:val="ru-RU" w:eastAsia="en-US"/>
              </w:rPr>
              <w:t xml:space="preserve"> особи, яка </w:t>
            </w:r>
            <w:proofErr w:type="spellStart"/>
            <w:r>
              <w:rPr>
                <w:rFonts w:ascii="Times New Roman" w:eastAsia="Times New Roman" w:hAnsi="Times New Roman" w:cs="Times New Roman"/>
                <w:sz w:val="20"/>
                <w:szCs w:val="20"/>
                <w:lang w:val="ru-RU" w:eastAsia="en-US"/>
              </w:rPr>
              <w:t>зазначена</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відповідному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договорі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чи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перебування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його</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обліку</w:t>
            </w:r>
            <w:proofErr w:type="spellEnd"/>
            <w:r>
              <w:rPr>
                <w:rFonts w:ascii="Times New Roman" w:eastAsia="Times New Roman" w:hAnsi="Times New Roman" w:cs="Times New Roman"/>
                <w:sz w:val="20"/>
                <w:szCs w:val="20"/>
                <w:lang w:val="ru-RU" w:eastAsia="en-US"/>
              </w:rPr>
              <w:t>.</w:t>
            </w:r>
          </w:p>
          <w:p w14:paraId="74FE87CF"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4) </w:t>
            </w:r>
            <w:proofErr w:type="spellStart"/>
            <w:r>
              <w:rPr>
                <w:rFonts w:ascii="Times New Roman" w:eastAsia="Times New Roman" w:hAnsi="Times New Roman" w:cs="Times New Roman"/>
                <w:b/>
                <w:bCs/>
                <w:sz w:val="20"/>
                <w:szCs w:val="20"/>
                <w:u w:val="single"/>
                <w:lang w:val="ru-RU" w:eastAsia="en-US"/>
              </w:rPr>
              <w:t>оригінал</w:t>
            </w:r>
            <w:proofErr w:type="spellEnd"/>
            <w:r>
              <w:rPr>
                <w:rFonts w:ascii="Times New Roman" w:eastAsia="Times New Roman" w:hAnsi="Times New Roman" w:cs="Times New Roman"/>
                <w:b/>
                <w:bCs/>
                <w:sz w:val="20"/>
                <w:szCs w:val="20"/>
                <w:u w:val="single"/>
                <w:lang w:val="ru-RU" w:eastAsia="en-US"/>
              </w:rPr>
              <w:t xml:space="preserve"> листа-</w:t>
            </w:r>
            <w:proofErr w:type="spellStart"/>
            <w:r>
              <w:rPr>
                <w:rFonts w:ascii="Times New Roman" w:eastAsia="Times New Roman" w:hAnsi="Times New Roman" w:cs="Times New Roman"/>
                <w:b/>
                <w:bCs/>
                <w:sz w:val="20"/>
                <w:szCs w:val="20"/>
                <w:u w:val="single"/>
                <w:lang w:val="ru-RU" w:eastAsia="en-US"/>
              </w:rPr>
              <w:t>підтвердження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орендодавця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лізингодавця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або</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іншої</w:t>
            </w:r>
            <w:proofErr w:type="spellEnd"/>
            <w:r>
              <w:rPr>
                <w:rFonts w:ascii="Times New Roman" w:eastAsia="Times New Roman" w:hAnsi="Times New Roman" w:cs="Times New Roman"/>
                <w:b/>
                <w:bCs/>
                <w:sz w:val="20"/>
                <w:szCs w:val="20"/>
                <w:u w:val="single"/>
                <w:lang w:val="ru-RU" w:eastAsia="en-US"/>
              </w:rPr>
              <w:t xml:space="preserve"> особи, яка </w:t>
            </w:r>
            <w:proofErr w:type="spellStart"/>
            <w:r>
              <w:rPr>
                <w:rFonts w:ascii="Times New Roman" w:eastAsia="Times New Roman" w:hAnsi="Times New Roman" w:cs="Times New Roman"/>
                <w:b/>
                <w:bCs/>
                <w:sz w:val="20"/>
                <w:szCs w:val="20"/>
                <w:u w:val="single"/>
                <w:lang w:val="ru-RU" w:eastAsia="en-US"/>
              </w:rPr>
              <w:t>зазначена</w:t>
            </w:r>
            <w:proofErr w:type="spellEnd"/>
            <w:r>
              <w:rPr>
                <w:rFonts w:ascii="Times New Roman" w:eastAsia="Times New Roman" w:hAnsi="Times New Roman" w:cs="Times New Roman"/>
                <w:b/>
                <w:bCs/>
                <w:sz w:val="20"/>
                <w:szCs w:val="20"/>
                <w:u w:val="single"/>
                <w:lang w:val="ru-RU" w:eastAsia="en-US"/>
              </w:rPr>
              <w:t xml:space="preserve"> у </w:t>
            </w:r>
            <w:proofErr w:type="spellStart"/>
            <w:r>
              <w:rPr>
                <w:rFonts w:ascii="Times New Roman" w:eastAsia="Times New Roman" w:hAnsi="Times New Roman" w:cs="Times New Roman"/>
                <w:b/>
                <w:bCs/>
                <w:sz w:val="20"/>
                <w:szCs w:val="20"/>
                <w:u w:val="single"/>
                <w:lang w:val="ru-RU" w:eastAsia="en-US"/>
              </w:rPr>
              <w:t>відповідному</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договорі</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щодо</w:t>
            </w:r>
            <w:proofErr w:type="spellEnd"/>
            <w:r>
              <w:rPr>
                <w:rFonts w:ascii="Times New Roman" w:eastAsia="Times New Roman" w:hAnsi="Times New Roman" w:cs="Times New Roman"/>
                <w:b/>
                <w:bCs/>
                <w:sz w:val="20"/>
                <w:szCs w:val="20"/>
                <w:u w:val="single"/>
                <w:lang w:val="ru-RU" w:eastAsia="en-US"/>
              </w:rPr>
              <w:t xml:space="preserve"> не </w:t>
            </w:r>
            <w:proofErr w:type="spellStart"/>
            <w:r>
              <w:rPr>
                <w:rFonts w:ascii="Times New Roman" w:eastAsia="Times New Roman" w:hAnsi="Times New Roman" w:cs="Times New Roman"/>
                <w:b/>
                <w:bCs/>
                <w:sz w:val="20"/>
                <w:szCs w:val="20"/>
                <w:u w:val="single"/>
                <w:lang w:val="ru-RU" w:eastAsia="en-US"/>
              </w:rPr>
              <w:t>заперечення</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використання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b/>
                <w:bCs/>
                <w:sz w:val="20"/>
                <w:szCs w:val="20"/>
                <w:u w:val="single"/>
                <w:lang w:val="ru-RU" w:eastAsia="en-US"/>
              </w:rPr>
              <w:t>його</w:t>
            </w:r>
            <w:proofErr w:type="spellEnd"/>
            <w:r>
              <w:rPr>
                <w:rFonts w:ascii="Times New Roman" w:eastAsia="Times New Roman" w:hAnsi="Times New Roman" w:cs="Times New Roman"/>
                <w:b/>
                <w:bCs/>
                <w:sz w:val="20"/>
                <w:szCs w:val="20"/>
                <w:u w:val="single"/>
                <w:lang w:val="ru-RU" w:eastAsia="en-US"/>
              </w:rPr>
              <w:t xml:space="preserve"> машин, </w:t>
            </w:r>
            <w:proofErr w:type="spellStart"/>
            <w:r>
              <w:rPr>
                <w:rFonts w:ascii="Times New Roman" w:eastAsia="Times New Roman" w:hAnsi="Times New Roman" w:cs="Times New Roman"/>
                <w:b/>
                <w:bCs/>
                <w:sz w:val="20"/>
                <w:szCs w:val="20"/>
                <w:u w:val="single"/>
                <w:lang w:val="ru-RU" w:eastAsia="en-US"/>
              </w:rPr>
              <w:t>механізмів</w:t>
            </w:r>
            <w:proofErr w:type="spellEnd"/>
            <w:r>
              <w:rPr>
                <w:rFonts w:ascii="Times New Roman" w:eastAsia="Times New Roman" w:hAnsi="Times New Roman" w:cs="Times New Roman"/>
                <w:b/>
                <w:bCs/>
                <w:sz w:val="20"/>
                <w:szCs w:val="20"/>
                <w:u w:val="single"/>
                <w:lang w:val="ru-RU" w:eastAsia="en-US"/>
              </w:rPr>
              <w:t xml:space="preserve">, </w:t>
            </w:r>
            <w:proofErr w:type="spellStart"/>
            <w:r>
              <w:rPr>
                <w:rFonts w:ascii="Times New Roman" w:eastAsia="Times New Roman" w:hAnsi="Times New Roman" w:cs="Times New Roman"/>
                <w:b/>
                <w:bCs/>
                <w:sz w:val="20"/>
                <w:szCs w:val="20"/>
                <w:u w:val="single"/>
                <w:lang w:val="ru-RU" w:eastAsia="en-US"/>
              </w:rPr>
              <w:t>обладнання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інших</w:t>
            </w:r>
            <w:proofErr w:type="spellEnd"/>
            <w:r>
              <w:rPr>
                <w:rFonts w:ascii="Times New Roman" w:eastAsia="Times New Roman" w:hAnsi="Times New Roman" w:cs="Times New Roman"/>
                <w:sz w:val="20"/>
                <w:szCs w:val="20"/>
                <w:lang w:val="ru-RU" w:eastAsia="en-US"/>
              </w:rPr>
              <w:t xml:space="preserve"> для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робіт</w:t>
            </w:r>
            <w:proofErr w:type="spellEnd"/>
            <w:r>
              <w:rPr>
                <w:rFonts w:ascii="Times New Roman" w:eastAsia="Times New Roman" w:hAnsi="Times New Roman" w:cs="Times New Roman"/>
                <w:sz w:val="20"/>
                <w:szCs w:val="20"/>
                <w:lang w:val="ru-RU" w:eastAsia="en-US"/>
              </w:rPr>
              <w:t xml:space="preserve"> </w:t>
            </w:r>
            <w:proofErr w:type="gramStart"/>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надання</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послуг</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Субпідрядником</w:t>
            </w:r>
            <w:proofErr w:type="spellEnd"/>
            <w:r>
              <w:rPr>
                <w:rFonts w:ascii="Times New Roman" w:eastAsia="Times New Roman" w:hAnsi="Times New Roman" w:cs="Times New Roman"/>
                <w:sz w:val="20"/>
                <w:szCs w:val="20"/>
                <w:lang w:val="ru-RU" w:eastAsia="en-US"/>
              </w:rPr>
              <w:t xml:space="preserve"> за предметом </w:t>
            </w:r>
            <w:proofErr w:type="spellStart"/>
            <w:r>
              <w:rPr>
                <w:rFonts w:ascii="Times New Roman" w:eastAsia="Times New Roman" w:hAnsi="Times New Roman" w:cs="Times New Roman"/>
                <w:sz w:val="20"/>
                <w:szCs w:val="20"/>
                <w:lang w:val="ru-RU" w:eastAsia="en-US"/>
              </w:rPr>
              <w:t>закупівлі</w:t>
            </w:r>
            <w:proofErr w:type="spellEnd"/>
            <w:r>
              <w:rPr>
                <w:rFonts w:ascii="Times New Roman" w:eastAsia="Times New Roman" w:hAnsi="Times New Roman" w:cs="Times New Roman"/>
                <w:sz w:val="20"/>
                <w:szCs w:val="20"/>
                <w:lang w:val="ru-RU" w:eastAsia="en-US"/>
              </w:rPr>
              <w:t xml:space="preserve"> на весь строк </w:t>
            </w:r>
            <w:proofErr w:type="spellStart"/>
            <w:r>
              <w:rPr>
                <w:rFonts w:ascii="Times New Roman" w:eastAsia="Times New Roman" w:hAnsi="Times New Roman" w:cs="Times New Roman"/>
                <w:sz w:val="20"/>
                <w:szCs w:val="20"/>
                <w:lang w:val="ru-RU" w:eastAsia="en-US"/>
              </w:rPr>
              <w:t>надання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послуг</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робіт</w:t>
            </w:r>
            <w:proofErr w:type="spellEnd"/>
            <w:r>
              <w:rPr>
                <w:rFonts w:ascii="Times New Roman" w:eastAsia="Times New Roman" w:hAnsi="Times New Roman" w:cs="Times New Roman"/>
                <w:sz w:val="20"/>
                <w:szCs w:val="20"/>
                <w:lang w:val="ru-RU" w:eastAsia="en-US"/>
              </w:rPr>
              <w:t xml:space="preserve"> за предметом </w:t>
            </w:r>
            <w:proofErr w:type="spellStart"/>
            <w:r>
              <w:rPr>
                <w:rFonts w:ascii="Times New Roman" w:eastAsia="Times New Roman" w:hAnsi="Times New Roman" w:cs="Times New Roman"/>
                <w:sz w:val="20"/>
                <w:szCs w:val="20"/>
                <w:lang w:val="ru-RU" w:eastAsia="en-US"/>
              </w:rPr>
              <w:t>закупівлі</w:t>
            </w:r>
            <w:proofErr w:type="spellEnd"/>
            <w:r>
              <w:rPr>
                <w:rFonts w:ascii="Times New Roman" w:eastAsia="Times New Roman" w:hAnsi="Times New Roman" w:cs="Times New Roman"/>
                <w:sz w:val="20"/>
                <w:szCs w:val="20"/>
                <w:lang w:val="ru-RU" w:eastAsia="en-US"/>
              </w:rPr>
              <w:t>.</w:t>
            </w:r>
          </w:p>
          <w:p w14:paraId="63AD0C34"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r>
              <w:rPr>
                <w:rFonts w:ascii="Times New Roman" w:eastAsia="Times New Roman" w:hAnsi="Times New Roman" w:cs="Times New Roman"/>
                <w:sz w:val="20"/>
                <w:szCs w:val="20"/>
                <w:lang w:val="ru-RU" w:eastAsia="en-US"/>
              </w:rPr>
              <w:t xml:space="preserve">5) у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матеріально-технічної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бази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вимогам</w:t>
            </w:r>
            <w:proofErr w:type="spellEnd"/>
            <w:r>
              <w:rPr>
                <w:rFonts w:ascii="Times New Roman" w:eastAsia="Times New Roman" w:hAnsi="Times New Roman" w:cs="Times New Roman"/>
                <w:sz w:val="20"/>
                <w:szCs w:val="20"/>
                <w:lang w:val="ru-RU" w:eastAsia="en-US"/>
              </w:rPr>
              <w:t xml:space="preserve"> з </w:t>
            </w:r>
            <w:proofErr w:type="spellStart"/>
            <w:r>
              <w:rPr>
                <w:rFonts w:ascii="Times New Roman" w:eastAsia="Times New Roman" w:hAnsi="Times New Roman" w:cs="Times New Roman"/>
                <w:sz w:val="20"/>
                <w:szCs w:val="20"/>
                <w:lang w:val="ru-RU" w:eastAsia="en-US"/>
              </w:rPr>
              <w:t>питань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охорони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праці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у </w:t>
            </w:r>
            <w:proofErr w:type="spellStart"/>
            <w:r>
              <w:rPr>
                <w:rFonts w:ascii="Times New Roman" w:eastAsia="Times New Roman" w:hAnsi="Times New Roman" w:cs="Times New Roman"/>
                <w:sz w:val="20"/>
                <w:szCs w:val="20"/>
                <w:lang w:val="ru-RU" w:eastAsia="en-US"/>
              </w:rPr>
              <w:t>складі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пропозиції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b/>
                <w:sz w:val="20"/>
                <w:szCs w:val="20"/>
                <w:lang w:val="ru-RU" w:eastAsia="en-US"/>
              </w:rPr>
              <w:t>надає</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чинну</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декларацію</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відповідності</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матеріально-технічної</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бази</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вимогам</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законодавства</w:t>
            </w:r>
            <w:proofErr w:type="spellEnd"/>
            <w:r>
              <w:rPr>
                <w:rFonts w:ascii="Times New Roman" w:eastAsia="Times New Roman" w:hAnsi="Times New Roman" w:cs="Times New Roman"/>
                <w:b/>
                <w:sz w:val="20"/>
                <w:szCs w:val="20"/>
                <w:lang w:val="ru-RU" w:eastAsia="en-US"/>
              </w:rPr>
              <w:t xml:space="preserve"> з </w:t>
            </w:r>
            <w:proofErr w:type="spellStart"/>
            <w:r>
              <w:rPr>
                <w:rFonts w:ascii="Times New Roman" w:eastAsia="Times New Roman" w:hAnsi="Times New Roman" w:cs="Times New Roman"/>
                <w:b/>
                <w:sz w:val="20"/>
                <w:szCs w:val="20"/>
                <w:lang w:val="ru-RU" w:eastAsia="en-US"/>
              </w:rPr>
              <w:t>питань</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охорони</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праці</w:t>
            </w:r>
            <w:proofErr w:type="spellEnd"/>
            <w:r>
              <w:rPr>
                <w:rFonts w:ascii="Times New Roman" w:eastAsia="Times New Roman" w:hAnsi="Times New Roman" w:cs="Times New Roman"/>
                <w:b/>
                <w:sz w:val="20"/>
                <w:szCs w:val="20"/>
                <w:lang w:val="ru-RU" w:eastAsia="en-US"/>
              </w:rPr>
              <w:t>,</w:t>
            </w:r>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видану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w:t>
            </w:r>
            <w:proofErr w:type="spellEnd"/>
            <w:r>
              <w:rPr>
                <w:rFonts w:ascii="Times New Roman" w:eastAsia="Times New Roman" w:hAnsi="Times New Roman" w:cs="Times New Roman"/>
                <w:sz w:val="20"/>
                <w:szCs w:val="20"/>
                <w:lang w:val="ru-RU" w:eastAsia="en-US"/>
              </w:rPr>
              <w:t xml:space="preserve"> до « Порядку </w:t>
            </w:r>
            <w:proofErr w:type="spellStart"/>
            <w:r>
              <w:rPr>
                <w:rFonts w:ascii="Times New Roman" w:eastAsia="Times New Roman" w:hAnsi="Times New Roman" w:cs="Times New Roman"/>
                <w:sz w:val="20"/>
                <w:szCs w:val="20"/>
                <w:lang w:val="ru-RU" w:eastAsia="en-US"/>
              </w:rPr>
              <w:t>видачі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дозволів</w:t>
            </w:r>
            <w:proofErr w:type="spellEnd"/>
            <w:r>
              <w:rPr>
                <w:rFonts w:ascii="Times New Roman" w:eastAsia="Times New Roman" w:hAnsi="Times New Roman" w:cs="Times New Roman"/>
                <w:sz w:val="20"/>
                <w:szCs w:val="20"/>
                <w:lang w:val="ru-RU" w:eastAsia="en-US"/>
              </w:rPr>
              <w:t xml:space="preserve"> на </w:t>
            </w:r>
            <w:proofErr w:type="spellStart"/>
            <w:r>
              <w:rPr>
                <w:rFonts w:ascii="Times New Roman" w:eastAsia="Times New Roman" w:hAnsi="Times New Roman" w:cs="Times New Roman"/>
                <w:sz w:val="20"/>
                <w:szCs w:val="20"/>
                <w:lang w:val="ru-RU" w:eastAsia="en-US"/>
              </w:rPr>
              <w:t>виконання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робіт</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підвищеної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небезпеки</w:t>
            </w:r>
            <w:proofErr w:type="spellEnd"/>
            <w:r>
              <w:rPr>
                <w:rFonts w:ascii="Times New Roman" w:eastAsia="Times New Roman" w:hAnsi="Times New Roman" w:cs="Times New Roman"/>
                <w:sz w:val="20"/>
                <w:szCs w:val="20"/>
                <w:lang w:val="ru-RU" w:eastAsia="en-US"/>
              </w:rPr>
              <w:t xml:space="preserve"> та на </w:t>
            </w:r>
            <w:proofErr w:type="spellStart"/>
            <w:r>
              <w:rPr>
                <w:rFonts w:ascii="Times New Roman" w:eastAsia="Times New Roman" w:hAnsi="Times New Roman" w:cs="Times New Roman"/>
                <w:sz w:val="20"/>
                <w:szCs w:val="20"/>
                <w:lang w:val="ru-RU" w:eastAsia="en-US"/>
              </w:rPr>
              <w:t>експлуатацію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застосування</w:t>
            </w:r>
            <w:proofErr w:type="spellEnd"/>
            <w:r>
              <w:rPr>
                <w:rFonts w:ascii="Times New Roman" w:eastAsia="Times New Roman" w:hAnsi="Times New Roman" w:cs="Times New Roman"/>
                <w:sz w:val="20"/>
                <w:szCs w:val="20"/>
                <w:lang w:val="ru-RU" w:eastAsia="en-US"/>
              </w:rPr>
              <w:t xml:space="preserve">) машин, </w:t>
            </w:r>
            <w:proofErr w:type="spellStart"/>
            <w:r>
              <w:rPr>
                <w:rFonts w:ascii="Times New Roman" w:eastAsia="Times New Roman" w:hAnsi="Times New Roman" w:cs="Times New Roman"/>
                <w:sz w:val="20"/>
                <w:szCs w:val="20"/>
                <w:lang w:val="ru-RU" w:eastAsia="en-US"/>
              </w:rPr>
              <w:t>механізмів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устаткування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підвищеної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небезпеки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lastRenderedPageBreak/>
              <w:t>Затвердженого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Постановою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Кабінету</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Міністрів</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України</w:t>
            </w:r>
            <w:proofErr w:type="spellEnd"/>
            <w:r>
              <w:rPr>
                <w:rFonts w:ascii="Times New Roman" w:eastAsia="Times New Roman" w:hAnsi="Times New Roman" w:cs="Times New Roman"/>
                <w:sz w:val="20"/>
                <w:szCs w:val="20"/>
                <w:lang w:val="ru-RU" w:eastAsia="en-US"/>
              </w:rPr>
              <w:t xml:space="preserve"> № 1107 </w:t>
            </w:r>
            <w:proofErr w:type="spellStart"/>
            <w:r>
              <w:rPr>
                <w:rFonts w:ascii="Times New Roman" w:eastAsia="Times New Roman" w:hAnsi="Times New Roman" w:cs="Times New Roman"/>
                <w:sz w:val="20"/>
                <w:szCs w:val="20"/>
                <w:lang w:val="ru-RU" w:eastAsia="en-US"/>
              </w:rPr>
              <w:t>від</w:t>
            </w:r>
            <w:proofErr w:type="spellEnd"/>
            <w:r>
              <w:rPr>
                <w:rFonts w:ascii="Times New Roman" w:eastAsia="Times New Roman" w:hAnsi="Times New Roman" w:cs="Times New Roman"/>
                <w:sz w:val="20"/>
                <w:szCs w:val="20"/>
                <w:lang w:val="ru-RU" w:eastAsia="en-US"/>
              </w:rPr>
              <w:t xml:space="preserve"> 26 </w:t>
            </w:r>
            <w:proofErr w:type="spellStart"/>
            <w:r>
              <w:rPr>
                <w:rFonts w:ascii="Times New Roman" w:eastAsia="Times New Roman" w:hAnsi="Times New Roman" w:cs="Times New Roman"/>
                <w:sz w:val="20"/>
                <w:szCs w:val="20"/>
                <w:lang w:val="ru-RU" w:eastAsia="en-US"/>
              </w:rPr>
              <w:t>жовтня</w:t>
            </w:r>
            <w:proofErr w:type="spellEnd"/>
            <w:r>
              <w:rPr>
                <w:rFonts w:ascii="Times New Roman" w:eastAsia="Times New Roman" w:hAnsi="Times New Roman" w:cs="Times New Roman"/>
                <w:sz w:val="20"/>
                <w:szCs w:val="20"/>
                <w:lang w:val="ru-RU" w:eastAsia="en-US"/>
              </w:rPr>
              <w:t xml:space="preserve"> 2011 року </w:t>
            </w:r>
            <w:proofErr w:type="spellStart"/>
            <w:r>
              <w:rPr>
                <w:rFonts w:ascii="Times New Roman" w:eastAsia="Times New Roman" w:hAnsi="Times New Roman" w:cs="Times New Roman"/>
                <w:sz w:val="20"/>
                <w:szCs w:val="20"/>
                <w:lang w:val="ru-RU" w:eastAsia="en-US"/>
              </w:rPr>
              <w:t>зі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змінами</w:t>
            </w:r>
            <w:proofErr w:type="spellEnd"/>
            <w:r>
              <w:rPr>
                <w:rFonts w:ascii="Times New Roman" w:eastAsia="Times New Roman" w:hAnsi="Times New Roman" w:cs="Times New Roman"/>
                <w:sz w:val="20"/>
                <w:szCs w:val="20"/>
                <w:lang w:val="ru-RU" w:eastAsia="en-US"/>
              </w:rPr>
              <w:t xml:space="preserve"> і </w:t>
            </w:r>
            <w:proofErr w:type="spellStart"/>
            <w:r>
              <w:rPr>
                <w:rFonts w:ascii="Times New Roman" w:eastAsia="Times New Roman" w:hAnsi="Times New Roman" w:cs="Times New Roman"/>
                <w:sz w:val="20"/>
                <w:szCs w:val="20"/>
                <w:lang w:val="ru-RU" w:eastAsia="en-US"/>
              </w:rPr>
              <w:t>доповненнями</w:t>
            </w:r>
            <w:proofErr w:type="spellEnd"/>
            <w:r>
              <w:rPr>
                <w:rFonts w:ascii="Times New Roman" w:eastAsia="Times New Roman" w:hAnsi="Times New Roman" w:cs="Times New Roman"/>
                <w:sz w:val="20"/>
                <w:szCs w:val="20"/>
                <w:lang w:val="ru-RU" w:eastAsia="en-US"/>
              </w:rPr>
              <w:t>.</w:t>
            </w:r>
          </w:p>
          <w:p w14:paraId="00BA1869"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Довідка</w:t>
            </w:r>
            <w:proofErr w:type="spellEnd"/>
            <w:r>
              <w:rPr>
                <w:rFonts w:ascii="Times New Roman" w:eastAsia="Times New Roman" w:hAnsi="Times New Roman" w:cs="Times New Roman"/>
                <w:sz w:val="20"/>
                <w:szCs w:val="20"/>
                <w:lang w:val="ru-RU" w:eastAsia="en-US"/>
              </w:rPr>
              <w:t xml:space="preserve"> </w:t>
            </w:r>
            <w:proofErr w:type="spellStart"/>
            <w:proofErr w:type="gramStart"/>
            <w:r>
              <w:rPr>
                <w:rFonts w:ascii="Times New Roman" w:eastAsia="Times New Roman" w:hAnsi="Times New Roman" w:cs="Times New Roman"/>
                <w:sz w:val="20"/>
                <w:szCs w:val="20"/>
                <w:lang w:val="ru-RU" w:eastAsia="en-US"/>
              </w:rPr>
              <w:t>обов»язково</w:t>
            </w:r>
            <w:proofErr w:type="spellEnd"/>
            <w:proofErr w:type="gramEnd"/>
            <w:r>
              <w:rPr>
                <w:rFonts w:ascii="Times New Roman" w:eastAsia="Times New Roman" w:hAnsi="Times New Roman" w:cs="Times New Roman"/>
                <w:sz w:val="20"/>
                <w:szCs w:val="20"/>
                <w:lang w:val="ru-RU" w:eastAsia="en-US"/>
              </w:rPr>
              <w:t xml:space="preserve"> повинна </w:t>
            </w:r>
            <w:proofErr w:type="spellStart"/>
            <w:r>
              <w:rPr>
                <w:rFonts w:ascii="Times New Roman" w:eastAsia="Times New Roman" w:hAnsi="Times New Roman" w:cs="Times New Roman"/>
                <w:sz w:val="20"/>
                <w:szCs w:val="20"/>
                <w:lang w:val="ru-RU" w:eastAsia="en-US"/>
              </w:rPr>
              <w:t>містити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інформацію</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наявність</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офісного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приміщення</w:t>
            </w:r>
            <w:proofErr w:type="spellEnd"/>
            <w:r>
              <w:rPr>
                <w:rFonts w:ascii="Times New Roman" w:eastAsia="Times New Roman" w:hAnsi="Times New Roman" w:cs="Times New Roman"/>
                <w:sz w:val="20"/>
                <w:szCs w:val="20"/>
                <w:lang w:val="ru-RU" w:eastAsia="en-US"/>
              </w:rPr>
              <w:t xml:space="preserve"> та  </w:t>
            </w:r>
            <w:proofErr w:type="spellStart"/>
            <w:r>
              <w:rPr>
                <w:rFonts w:ascii="Times New Roman" w:eastAsia="Times New Roman" w:hAnsi="Times New Roman" w:cs="Times New Roman"/>
                <w:sz w:val="20"/>
                <w:szCs w:val="20"/>
                <w:lang w:val="ru-RU" w:eastAsia="en-US"/>
              </w:rPr>
              <w:t>складського</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приміщення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із</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зазначенням</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інформації</w:t>
            </w:r>
            <w:proofErr w:type="spellEnd"/>
            <w:r>
              <w:rPr>
                <w:rFonts w:ascii="Times New Roman" w:eastAsia="Times New Roman" w:hAnsi="Times New Roman" w:cs="Times New Roman"/>
                <w:sz w:val="20"/>
                <w:szCs w:val="20"/>
                <w:lang w:val="ru-RU" w:eastAsia="en-US"/>
              </w:rPr>
              <w:t xml:space="preserve"> про </w:t>
            </w:r>
            <w:proofErr w:type="spellStart"/>
            <w:r>
              <w:rPr>
                <w:rFonts w:ascii="Times New Roman" w:eastAsia="Times New Roman" w:hAnsi="Times New Roman" w:cs="Times New Roman"/>
                <w:sz w:val="20"/>
                <w:szCs w:val="20"/>
                <w:lang w:val="ru-RU" w:eastAsia="en-US"/>
              </w:rPr>
              <w:t>їх</w:t>
            </w:r>
            <w:proofErr w:type="spellEnd"/>
            <w:r>
              <w:rPr>
                <w:rFonts w:ascii="Times New Roman" w:eastAsia="Times New Roman" w:hAnsi="Times New Roman" w:cs="Times New Roman"/>
                <w:sz w:val="20"/>
                <w:szCs w:val="20"/>
                <w:lang w:val="ru-RU" w:eastAsia="en-US"/>
              </w:rPr>
              <w:t xml:space="preserve"> адресу для </w:t>
            </w:r>
            <w:proofErr w:type="spellStart"/>
            <w:r>
              <w:rPr>
                <w:rFonts w:ascii="Times New Roman" w:eastAsia="Times New Roman" w:hAnsi="Times New Roman" w:cs="Times New Roman"/>
                <w:sz w:val="20"/>
                <w:szCs w:val="20"/>
                <w:lang w:val="ru-RU" w:eastAsia="en-US"/>
              </w:rPr>
              <w:t>здійснення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діяльності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площі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відомостей</w:t>
            </w:r>
            <w:proofErr w:type="spellEnd"/>
            <w:r>
              <w:rPr>
                <w:rFonts w:ascii="Times New Roman" w:eastAsia="Times New Roman" w:hAnsi="Times New Roman" w:cs="Times New Roman"/>
                <w:sz w:val="20"/>
                <w:szCs w:val="20"/>
                <w:lang w:val="ru-RU" w:eastAsia="en-US"/>
              </w:rPr>
              <w:t xml:space="preserve"> про право </w:t>
            </w:r>
            <w:proofErr w:type="spellStart"/>
            <w:r>
              <w:rPr>
                <w:rFonts w:ascii="Times New Roman" w:eastAsia="Times New Roman" w:hAnsi="Times New Roman" w:cs="Times New Roman"/>
                <w:sz w:val="20"/>
                <w:szCs w:val="20"/>
                <w:lang w:val="ru-RU" w:eastAsia="en-US"/>
              </w:rPr>
              <w:t>володіння</w:t>
            </w:r>
            <w:proofErr w:type="spellEnd"/>
            <w:r>
              <w:rPr>
                <w:rFonts w:ascii="Times New Roman" w:eastAsia="Times New Roman" w:hAnsi="Times New Roman" w:cs="Times New Roman"/>
                <w:sz w:val="20"/>
                <w:szCs w:val="20"/>
                <w:lang w:val="ru-RU" w:eastAsia="en-US"/>
              </w:rPr>
              <w:t>/</w:t>
            </w:r>
            <w:proofErr w:type="spellStart"/>
            <w:r>
              <w:rPr>
                <w:rFonts w:ascii="Times New Roman" w:eastAsia="Times New Roman" w:hAnsi="Times New Roman" w:cs="Times New Roman"/>
                <w:sz w:val="20"/>
                <w:szCs w:val="20"/>
                <w:lang w:val="ru-RU" w:eastAsia="en-US"/>
              </w:rPr>
              <w:t>користування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зазначається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правовстановлюючий</w:t>
            </w:r>
            <w:proofErr w:type="spellEnd"/>
            <w:r>
              <w:rPr>
                <w:rFonts w:ascii="Times New Roman" w:eastAsia="Times New Roman" w:hAnsi="Times New Roman" w:cs="Times New Roman"/>
                <w:sz w:val="20"/>
                <w:szCs w:val="20"/>
                <w:lang w:val="ru-RU" w:eastAsia="en-US"/>
              </w:rPr>
              <w:t xml:space="preserve"> документ, </w:t>
            </w:r>
            <w:proofErr w:type="spellStart"/>
            <w:r>
              <w:rPr>
                <w:rFonts w:ascii="Times New Roman" w:eastAsia="Times New Roman" w:hAnsi="Times New Roman" w:cs="Times New Roman"/>
                <w:sz w:val="20"/>
                <w:szCs w:val="20"/>
                <w:lang w:val="ru-RU" w:eastAsia="en-US"/>
              </w:rPr>
              <w:t>його</w:t>
            </w:r>
            <w:proofErr w:type="spellEnd"/>
            <w:r>
              <w:rPr>
                <w:rFonts w:ascii="Times New Roman" w:eastAsia="Times New Roman" w:hAnsi="Times New Roman" w:cs="Times New Roman"/>
                <w:sz w:val="20"/>
                <w:szCs w:val="20"/>
                <w:lang w:val="ru-RU" w:eastAsia="en-US"/>
              </w:rPr>
              <w:t xml:space="preserve"> дата та номер, строк </w:t>
            </w:r>
            <w:proofErr w:type="spellStart"/>
            <w:r>
              <w:rPr>
                <w:rFonts w:ascii="Times New Roman" w:eastAsia="Times New Roman" w:hAnsi="Times New Roman" w:cs="Times New Roman"/>
                <w:sz w:val="20"/>
                <w:szCs w:val="20"/>
                <w:lang w:val="ru-RU" w:eastAsia="en-US"/>
              </w:rPr>
              <w:t>дії</w:t>
            </w:r>
            <w:proofErr w:type="spellEnd"/>
            <w:r>
              <w:rPr>
                <w:rFonts w:ascii="Times New Roman" w:eastAsia="Times New Roman" w:hAnsi="Times New Roman" w:cs="Times New Roman"/>
                <w:sz w:val="20"/>
                <w:szCs w:val="20"/>
                <w:lang w:val="ru-RU" w:eastAsia="en-US"/>
              </w:rPr>
              <w:t xml:space="preserve">). </w:t>
            </w:r>
          </w:p>
          <w:p w14:paraId="7E472EBC"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roofErr w:type="spellStart"/>
            <w:r>
              <w:rPr>
                <w:rFonts w:ascii="Times New Roman" w:eastAsia="Times New Roman" w:hAnsi="Times New Roman" w:cs="Times New Roman"/>
                <w:sz w:val="20"/>
                <w:szCs w:val="20"/>
                <w:lang w:val="ru-RU" w:eastAsia="en-US"/>
              </w:rPr>
              <w:t>Учасник</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може</w:t>
            </w:r>
            <w:proofErr w:type="spellEnd"/>
            <w:r>
              <w:rPr>
                <w:rFonts w:ascii="Times New Roman" w:eastAsia="Times New Roman" w:hAnsi="Times New Roman" w:cs="Times New Roman"/>
                <w:sz w:val="20"/>
                <w:szCs w:val="20"/>
                <w:lang w:val="ru-RU" w:eastAsia="en-US"/>
              </w:rPr>
              <w:t xml:space="preserve"> для </w:t>
            </w:r>
            <w:proofErr w:type="spellStart"/>
            <w:r>
              <w:rPr>
                <w:rFonts w:ascii="Times New Roman" w:eastAsia="Times New Roman" w:hAnsi="Times New Roman" w:cs="Times New Roman"/>
                <w:sz w:val="20"/>
                <w:szCs w:val="20"/>
                <w:lang w:val="ru-RU" w:eastAsia="en-US"/>
              </w:rPr>
              <w:t>підтвердження</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своєї</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відповідності</w:t>
            </w:r>
            <w:proofErr w:type="spellEnd"/>
            <w:r>
              <w:rPr>
                <w:rFonts w:ascii="Times New Roman" w:eastAsia="Times New Roman" w:hAnsi="Times New Roman" w:cs="Times New Roman"/>
                <w:sz w:val="20"/>
                <w:szCs w:val="20"/>
                <w:lang w:val="ru-RU" w:eastAsia="en-US"/>
              </w:rPr>
              <w:t xml:space="preserve"> такому </w:t>
            </w:r>
            <w:proofErr w:type="spellStart"/>
            <w:r>
              <w:rPr>
                <w:rFonts w:ascii="Times New Roman" w:eastAsia="Times New Roman" w:hAnsi="Times New Roman" w:cs="Times New Roman"/>
                <w:sz w:val="20"/>
                <w:szCs w:val="20"/>
                <w:lang w:val="ru-RU" w:eastAsia="en-US"/>
              </w:rPr>
              <w:t>критерію</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залучити</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потужності</w:t>
            </w:r>
            <w:proofErr w:type="spell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інших</w:t>
            </w:r>
            <w:proofErr w:type="spellEnd"/>
            <w:r>
              <w:rPr>
                <w:rFonts w:ascii="Times New Roman" w:eastAsia="Times New Roman" w:hAnsi="Times New Roman" w:cs="Times New Roman"/>
                <w:sz w:val="20"/>
                <w:szCs w:val="20"/>
                <w:lang w:val="ru-RU" w:eastAsia="en-US"/>
              </w:rPr>
              <w:t xml:space="preserve"> </w:t>
            </w:r>
            <w:proofErr w:type="spellStart"/>
            <w:proofErr w:type="gramStart"/>
            <w:r>
              <w:rPr>
                <w:rFonts w:ascii="Times New Roman" w:eastAsia="Times New Roman" w:hAnsi="Times New Roman" w:cs="Times New Roman"/>
                <w:sz w:val="20"/>
                <w:szCs w:val="20"/>
                <w:lang w:val="ru-RU" w:eastAsia="en-US"/>
              </w:rPr>
              <w:t>суб»єктів</w:t>
            </w:r>
            <w:proofErr w:type="spellEnd"/>
            <w:proofErr w:type="gramEnd"/>
            <w:r>
              <w:rPr>
                <w:rFonts w:ascii="Times New Roman" w:eastAsia="Times New Roman" w:hAnsi="Times New Roman" w:cs="Times New Roman"/>
                <w:sz w:val="20"/>
                <w:szCs w:val="20"/>
                <w:lang w:val="ru-RU" w:eastAsia="en-US"/>
              </w:rPr>
              <w:t xml:space="preserve"> </w:t>
            </w:r>
            <w:proofErr w:type="spellStart"/>
            <w:r>
              <w:rPr>
                <w:rFonts w:ascii="Times New Roman" w:eastAsia="Times New Roman" w:hAnsi="Times New Roman" w:cs="Times New Roman"/>
                <w:sz w:val="20"/>
                <w:szCs w:val="20"/>
                <w:lang w:val="ru-RU" w:eastAsia="en-US"/>
              </w:rPr>
              <w:t>господарювання</w:t>
            </w:r>
            <w:proofErr w:type="spellEnd"/>
            <w:r>
              <w:rPr>
                <w:rFonts w:ascii="Times New Roman" w:eastAsia="Times New Roman" w:hAnsi="Times New Roman" w:cs="Times New Roman"/>
                <w:sz w:val="20"/>
                <w:szCs w:val="20"/>
                <w:lang w:val="ru-RU" w:eastAsia="en-US"/>
              </w:rPr>
              <w:t xml:space="preserve"> як </w:t>
            </w:r>
            <w:proofErr w:type="spellStart"/>
            <w:r>
              <w:rPr>
                <w:rFonts w:ascii="Times New Roman" w:eastAsia="Times New Roman" w:hAnsi="Times New Roman" w:cs="Times New Roman"/>
                <w:sz w:val="20"/>
                <w:szCs w:val="20"/>
                <w:lang w:val="ru-RU" w:eastAsia="en-US"/>
              </w:rPr>
              <w:t>субпідрядників</w:t>
            </w:r>
            <w:proofErr w:type="spellEnd"/>
            <w:r>
              <w:rPr>
                <w:rFonts w:ascii="Times New Roman" w:eastAsia="Times New Roman" w:hAnsi="Times New Roman" w:cs="Times New Roman"/>
                <w:sz w:val="20"/>
                <w:szCs w:val="20"/>
                <w:lang w:val="ru-RU" w:eastAsia="en-US"/>
              </w:rPr>
              <w:t>/</w:t>
            </w:r>
            <w:proofErr w:type="spellStart"/>
            <w:r>
              <w:rPr>
                <w:rFonts w:ascii="Times New Roman" w:eastAsia="Times New Roman" w:hAnsi="Times New Roman" w:cs="Times New Roman"/>
                <w:sz w:val="20"/>
                <w:szCs w:val="20"/>
                <w:lang w:val="ru-RU" w:eastAsia="en-US"/>
              </w:rPr>
              <w:t>співвиконавців</w:t>
            </w:r>
            <w:proofErr w:type="spellEnd"/>
            <w:r>
              <w:rPr>
                <w:rFonts w:ascii="Times New Roman" w:eastAsia="Times New Roman" w:hAnsi="Times New Roman" w:cs="Times New Roman"/>
                <w:sz w:val="20"/>
                <w:szCs w:val="20"/>
                <w:lang w:val="ru-RU" w:eastAsia="en-US"/>
              </w:rPr>
              <w:t>.</w:t>
            </w:r>
          </w:p>
          <w:p w14:paraId="0BD8E427"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val="ru-RU" w:eastAsia="en-US"/>
              </w:rPr>
            </w:pPr>
          </w:p>
          <w:p w14:paraId="1AB562F1" w14:textId="77777777" w:rsidR="002B6054" w:rsidRDefault="002B6054">
            <w:pPr>
              <w:widowControl w:val="0"/>
              <w:spacing w:line="240" w:lineRule="auto"/>
              <w:ind w:right="120"/>
              <w:jc w:val="both"/>
              <w:rPr>
                <w:rFonts w:ascii="Times New Roman" w:eastAsia="Times New Roman" w:hAnsi="Times New Roman" w:cs="Times New Roman"/>
                <w:color w:val="000000" w:themeColor="text1"/>
                <w:sz w:val="20"/>
                <w:szCs w:val="20"/>
                <w:highlight w:val="cyan"/>
                <w:lang w:eastAsia="en-US"/>
              </w:rPr>
            </w:pPr>
            <w:proofErr w:type="spellStart"/>
            <w:r>
              <w:rPr>
                <w:rFonts w:ascii="Times New Roman" w:eastAsia="Times New Roman" w:hAnsi="Times New Roman" w:cs="Times New Roman"/>
                <w:i/>
                <w:iCs/>
                <w:sz w:val="20"/>
                <w:szCs w:val="20"/>
                <w:lang w:val="ru-RU" w:eastAsia="en-US"/>
              </w:rPr>
              <w:t>Відповідність</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поданої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пропозиції</w:t>
            </w:r>
            <w:proofErr w:type="spellEnd"/>
            <w:r>
              <w:rPr>
                <w:rFonts w:ascii="Times New Roman" w:eastAsia="Times New Roman" w:hAnsi="Times New Roman" w:cs="Times New Roman"/>
                <w:i/>
                <w:iCs/>
                <w:sz w:val="20"/>
                <w:szCs w:val="20"/>
                <w:lang w:val="ru-RU" w:eastAsia="en-US"/>
              </w:rPr>
              <w:t xml:space="preserve"> за </w:t>
            </w:r>
            <w:proofErr w:type="spellStart"/>
            <w:r>
              <w:rPr>
                <w:rFonts w:ascii="Times New Roman" w:eastAsia="Times New Roman" w:hAnsi="Times New Roman" w:cs="Times New Roman"/>
                <w:i/>
                <w:iCs/>
                <w:sz w:val="20"/>
                <w:szCs w:val="20"/>
                <w:lang w:val="ru-RU" w:eastAsia="en-US"/>
              </w:rPr>
              <w:t>цим</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критерієм</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підтверджується</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наданням</w:t>
            </w:r>
            <w:proofErr w:type="spellEnd"/>
            <w:r>
              <w:rPr>
                <w:rFonts w:ascii="Times New Roman" w:eastAsia="Times New Roman" w:hAnsi="Times New Roman" w:cs="Times New Roman"/>
                <w:i/>
                <w:iCs/>
                <w:sz w:val="20"/>
                <w:szCs w:val="20"/>
                <w:lang w:val="ru-RU" w:eastAsia="en-US"/>
              </w:rPr>
              <w:t xml:space="preserve"> у </w:t>
            </w:r>
            <w:proofErr w:type="spellStart"/>
            <w:r>
              <w:rPr>
                <w:rFonts w:ascii="Times New Roman" w:eastAsia="Times New Roman" w:hAnsi="Times New Roman" w:cs="Times New Roman"/>
                <w:i/>
                <w:iCs/>
                <w:sz w:val="20"/>
                <w:szCs w:val="20"/>
                <w:lang w:val="ru-RU" w:eastAsia="en-US"/>
              </w:rPr>
              <w:t>складі</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пропозиції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коректно</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оформленої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довідки</w:t>
            </w:r>
            <w:proofErr w:type="spellEnd"/>
            <w:r>
              <w:rPr>
                <w:rFonts w:ascii="Times New Roman" w:eastAsia="Times New Roman" w:hAnsi="Times New Roman" w:cs="Times New Roman"/>
                <w:i/>
                <w:iCs/>
                <w:sz w:val="20"/>
                <w:szCs w:val="20"/>
                <w:lang w:val="ru-RU" w:eastAsia="en-US"/>
              </w:rPr>
              <w:t xml:space="preserve"> про </w:t>
            </w:r>
            <w:proofErr w:type="spellStart"/>
            <w:r>
              <w:rPr>
                <w:rFonts w:ascii="Times New Roman" w:eastAsia="Times New Roman" w:hAnsi="Times New Roman" w:cs="Times New Roman"/>
                <w:i/>
                <w:iCs/>
                <w:sz w:val="20"/>
                <w:szCs w:val="20"/>
                <w:lang w:val="ru-RU" w:eastAsia="en-US"/>
              </w:rPr>
              <w:t>наявність</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обладнання</w:t>
            </w:r>
            <w:proofErr w:type="spellEnd"/>
            <w:r>
              <w:rPr>
                <w:rFonts w:ascii="Times New Roman" w:eastAsia="Times New Roman" w:hAnsi="Times New Roman" w:cs="Times New Roman"/>
                <w:i/>
                <w:iCs/>
                <w:sz w:val="20"/>
                <w:szCs w:val="20"/>
                <w:lang w:val="ru-RU" w:eastAsia="en-US"/>
              </w:rPr>
              <w:t xml:space="preserve"> та </w:t>
            </w:r>
            <w:proofErr w:type="spellStart"/>
            <w:r>
              <w:rPr>
                <w:rFonts w:ascii="Times New Roman" w:eastAsia="Times New Roman" w:hAnsi="Times New Roman" w:cs="Times New Roman"/>
                <w:i/>
                <w:iCs/>
                <w:sz w:val="20"/>
                <w:szCs w:val="20"/>
                <w:lang w:val="ru-RU" w:eastAsia="en-US"/>
              </w:rPr>
              <w:t>матеріально-технічної</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бази</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необхідних</w:t>
            </w:r>
            <w:proofErr w:type="spellEnd"/>
            <w:r>
              <w:rPr>
                <w:rFonts w:ascii="Times New Roman" w:eastAsia="Times New Roman" w:hAnsi="Times New Roman" w:cs="Times New Roman"/>
                <w:i/>
                <w:iCs/>
                <w:sz w:val="20"/>
                <w:szCs w:val="20"/>
                <w:lang w:val="ru-RU" w:eastAsia="en-US"/>
              </w:rPr>
              <w:t xml:space="preserve"> для </w:t>
            </w:r>
            <w:proofErr w:type="spellStart"/>
            <w:r>
              <w:rPr>
                <w:rFonts w:ascii="Times New Roman" w:eastAsia="Times New Roman" w:hAnsi="Times New Roman" w:cs="Times New Roman"/>
                <w:i/>
                <w:iCs/>
                <w:sz w:val="20"/>
                <w:szCs w:val="20"/>
                <w:lang w:val="ru-RU" w:eastAsia="en-US"/>
              </w:rPr>
              <w:t>виконання</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робіт</w:t>
            </w:r>
            <w:proofErr w:type="spellEnd"/>
            <w:r>
              <w:rPr>
                <w:rFonts w:ascii="Times New Roman" w:eastAsia="Times New Roman" w:hAnsi="Times New Roman" w:cs="Times New Roman"/>
                <w:i/>
                <w:iCs/>
                <w:sz w:val="20"/>
                <w:szCs w:val="20"/>
                <w:lang w:val="ru-RU" w:eastAsia="en-US"/>
              </w:rPr>
              <w:t xml:space="preserve"> </w:t>
            </w:r>
            <w:proofErr w:type="gramStart"/>
            <w:r>
              <w:rPr>
                <w:rFonts w:ascii="Times New Roman" w:eastAsia="Times New Roman" w:hAnsi="Times New Roman" w:cs="Times New Roman"/>
                <w:i/>
                <w:iCs/>
                <w:sz w:val="20"/>
                <w:szCs w:val="20"/>
                <w:lang w:val="ru-RU" w:eastAsia="en-US"/>
              </w:rPr>
              <w:t>( та</w:t>
            </w:r>
            <w:proofErr w:type="gramEnd"/>
            <w:r>
              <w:rPr>
                <w:rFonts w:ascii="Times New Roman" w:eastAsia="Times New Roman" w:hAnsi="Times New Roman" w:cs="Times New Roman"/>
                <w:i/>
                <w:iCs/>
                <w:sz w:val="20"/>
                <w:szCs w:val="20"/>
                <w:lang w:val="ru-RU" w:eastAsia="en-US"/>
              </w:rPr>
              <w:t xml:space="preserve"> сканами </w:t>
            </w:r>
            <w:proofErr w:type="spellStart"/>
            <w:r>
              <w:rPr>
                <w:rFonts w:ascii="Times New Roman" w:eastAsia="Times New Roman" w:hAnsi="Times New Roman" w:cs="Times New Roman"/>
                <w:i/>
                <w:iCs/>
                <w:sz w:val="20"/>
                <w:szCs w:val="20"/>
                <w:lang w:val="ru-RU" w:eastAsia="en-US"/>
              </w:rPr>
              <w:t>підтвердних</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документів</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якщо</w:t>
            </w:r>
            <w:proofErr w:type="spellEnd"/>
            <w:r>
              <w:rPr>
                <w:rFonts w:ascii="Times New Roman" w:eastAsia="Times New Roman" w:hAnsi="Times New Roman" w:cs="Times New Roman"/>
                <w:i/>
                <w:iCs/>
                <w:sz w:val="20"/>
                <w:szCs w:val="20"/>
                <w:lang w:val="ru-RU" w:eastAsia="en-US"/>
              </w:rPr>
              <w:t xml:space="preserve"> вони </w:t>
            </w:r>
            <w:proofErr w:type="spellStart"/>
            <w:r>
              <w:rPr>
                <w:rFonts w:ascii="Times New Roman" w:eastAsia="Times New Roman" w:hAnsi="Times New Roman" w:cs="Times New Roman"/>
                <w:i/>
                <w:iCs/>
                <w:sz w:val="20"/>
                <w:szCs w:val="20"/>
                <w:lang w:val="ru-RU" w:eastAsia="en-US"/>
              </w:rPr>
              <w:t>вимагались</w:t>
            </w:r>
            <w:proofErr w:type="spellEnd"/>
            <w:r>
              <w:rPr>
                <w:rFonts w:ascii="Times New Roman" w:eastAsia="Times New Roman" w:hAnsi="Times New Roman" w:cs="Times New Roman"/>
                <w:i/>
                <w:iCs/>
                <w:sz w:val="20"/>
                <w:szCs w:val="20"/>
                <w:lang w:val="ru-RU" w:eastAsia="en-US"/>
              </w:rPr>
              <w:t xml:space="preserve"> </w:t>
            </w:r>
            <w:proofErr w:type="spellStart"/>
            <w:r>
              <w:rPr>
                <w:rFonts w:ascii="Times New Roman" w:eastAsia="Times New Roman" w:hAnsi="Times New Roman" w:cs="Times New Roman"/>
                <w:i/>
                <w:iCs/>
                <w:sz w:val="20"/>
                <w:szCs w:val="20"/>
                <w:lang w:val="ru-RU" w:eastAsia="en-US"/>
              </w:rPr>
              <w:t>замовником</w:t>
            </w:r>
            <w:proofErr w:type="spellEnd"/>
          </w:p>
        </w:tc>
      </w:tr>
      <w:tr w:rsidR="002B6054" w14:paraId="308DCABF"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3F0EA99D"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lastRenderedPageBreak/>
              <w:t xml:space="preserve">Додаток 2 Технічне завдання , в абзаці 2 </w:t>
            </w:r>
          </w:p>
        </w:tc>
      </w:tr>
      <w:tr w:rsidR="002B6054" w14:paraId="2E23A24D" w14:textId="77777777" w:rsidTr="002B6054">
        <w:tc>
          <w:tcPr>
            <w:tcW w:w="5103" w:type="dxa"/>
            <w:tcBorders>
              <w:top w:val="single" w:sz="4" w:space="0" w:color="auto"/>
              <w:left w:val="single" w:sz="4" w:space="0" w:color="auto"/>
              <w:bottom w:val="single" w:sz="4" w:space="0" w:color="auto"/>
              <w:right w:val="single" w:sz="4" w:space="0" w:color="auto"/>
            </w:tcBorders>
          </w:tcPr>
          <w:p w14:paraId="4AA7CBA4" w14:textId="77777777" w:rsidR="002B6054" w:rsidRDefault="002B6054">
            <w:pPr>
              <w:pStyle w:val="a4"/>
              <w:widowControl w:val="0"/>
              <w:spacing w:line="240" w:lineRule="auto"/>
              <w:ind w:left="0" w:firstLine="709"/>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Все обладнання та матеріали повинні бути  якісними та дозволеними для використання в Україні, під час </w:t>
            </w:r>
            <w:r>
              <w:rPr>
                <w:rFonts w:ascii="Times New Roman" w:hAnsi="Times New Roman" w:cs="Times New Roman"/>
                <w:b/>
                <w:bCs/>
                <w:sz w:val="20"/>
                <w:szCs w:val="20"/>
                <w:lang w:eastAsia="en-US"/>
              </w:rPr>
              <w:t>виконання послуг</w:t>
            </w:r>
            <w:r>
              <w:rPr>
                <w:rFonts w:ascii="Times New Roman" w:hAnsi="Times New Roman" w:cs="Times New Roman"/>
                <w:sz w:val="20"/>
                <w:szCs w:val="20"/>
                <w:lang w:eastAsia="en-US"/>
              </w:rPr>
              <w:t xml:space="preserve">  повинні мати сертифікати якості, висновки, якість яких відповідає чинним нормам і стандартам для даного виду обладнання та матеріалів. Відповідальність за якість обладнання та матеріалів буде покладається на Учасника, у випадку укладення з ним договору про закупівлю. Гарантійний строк експлуатації повинен розрахуватися Учасником, з урахуванням норм діючого законодавства.</w:t>
            </w:r>
          </w:p>
          <w:p w14:paraId="223C2CA5"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eastAsia="en-US"/>
              </w:rPr>
            </w:pPr>
          </w:p>
        </w:tc>
        <w:tc>
          <w:tcPr>
            <w:tcW w:w="4814" w:type="dxa"/>
            <w:tcBorders>
              <w:top w:val="single" w:sz="4" w:space="0" w:color="auto"/>
              <w:left w:val="single" w:sz="4" w:space="0" w:color="auto"/>
              <w:bottom w:val="single" w:sz="4" w:space="0" w:color="auto"/>
              <w:right w:val="single" w:sz="4" w:space="0" w:color="auto"/>
            </w:tcBorders>
          </w:tcPr>
          <w:p w14:paraId="79897627" w14:textId="77777777" w:rsidR="002B6054" w:rsidRDefault="002B6054">
            <w:pPr>
              <w:pStyle w:val="a4"/>
              <w:widowControl w:val="0"/>
              <w:spacing w:line="240" w:lineRule="auto"/>
              <w:ind w:left="0" w:firstLine="709"/>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Все обладнання та матеріали повинні бути  якісними та дозволеними для використання в Україні, під час </w:t>
            </w:r>
            <w:r>
              <w:rPr>
                <w:rFonts w:ascii="Times New Roman" w:hAnsi="Times New Roman" w:cs="Times New Roman"/>
                <w:b/>
                <w:bCs/>
                <w:sz w:val="20"/>
                <w:szCs w:val="20"/>
                <w:lang w:eastAsia="en-US"/>
              </w:rPr>
              <w:t>виконання робіт</w:t>
            </w:r>
            <w:r>
              <w:rPr>
                <w:rFonts w:ascii="Times New Roman" w:hAnsi="Times New Roman" w:cs="Times New Roman"/>
                <w:sz w:val="20"/>
                <w:szCs w:val="20"/>
                <w:lang w:eastAsia="en-US"/>
              </w:rPr>
              <w:t xml:space="preserve">  повинні мати сертифікати якості, висновки, якість яких відповідає чинним нормам і стандартам для даного виду обладнання та матеріалів. Відповідальність за якість обладнання та матеріалів буде покладається на Учасника, у випадку укладення з ним договору про закупівлю. Гарантійний строк експлуатації повинен розрахуватися Учасником, з урахуванням норм діючого законодавства.</w:t>
            </w:r>
          </w:p>
          <w:p w14:paraId="2986A98F" w14:textId="77777777" w:rsidR="002B6054" w:rsidRDefault="002B6054">
            <w:pPr>
              <w:tabs>
                <w:tab w:val="left" w:pos="1595"/>
                <w:tab w:val="left" w:pos="1730"/>
                <w:tab w:val="left" w:pos="2517"/>
                <w:tab w:val="left" w:pos="3883"/>
                <w:tab w:val="left" w:pos="4676"/>
                <w:tab w:val="left" w:pos="6555"/>
              </w:tabs>
              <w:spacing w:line="240" w:lineRule="auto"/>
              <w:ind w:right="87"/>
              <w:jc w:val="both"/>
              <w:rPr>
                <w:rFonts w:ascii="Times New Roman" w:eastAsia="Times New Roman" w:hAnsi="Times New Roman" w:cs="Times New Roman"/>
                <w:sz w:val="20"/>
                <w:szCs w:val="20"/>
                <w:lang w:eastAsia="en-US"/>
              </w:rPr>
            </w:pPr>
          </w:p>
        </w:tc>
      </w:tr>
      <w:tr w:rsidR="002B6054" w14:paraId="749C70C8"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28162529" w14:textId="77777777" w:rsidR="002B6054" w:rsidRDefault="002B6054">
            <w:pPr>
              <w:pStyle w:val="a4"/>
              <w:widowControl w:val="0"/>
              <w:spacing w:line="240" w:lineRule="auto"/>
              <w:ind w:left="0" w:firstLine="709"/>
              <w:jc w:val="both"/>
              <w:rPr>
                <w:rFonts w:ascii="Times New Roman" w:hAnsi="Times New Roman" w:cs="Times New Roman"/>
                <w:b/>
                <w:bCs/>
                <w:sz w:val="20"/>
                <w:szCs w:val="20"/>
                <w:lang w:eastAsia="en-US"/>
              </w:rPr>
            </w:pPr>
            <w:r>
              <w:rPr>
                <w:rFonts w:ascii="Times New Roman" w:hAnsi="Times New Roman" w:cs="Times New Roman"/>
                <w:b/>
                <w:bCs/>
                <w:sz w:val="20"/>
                <w:szCs w:val="20"/>
                <w:lang w:eastAsia="en-US"/>
              </w:rPr>
              <w:t>Додаток 2 Технічне завдання , в абзац 4-5</w:t>
            </w:r>
          </w:p>
        </w:tc>
      </w:tr>
      <w:tr w:rsidR="002B6054" w14:paraId="463F4FB2" w14:textId="77777777" w:rsidTr="002B6054">
        <w:tc>
          <w:tcPr>
            <w:tcW w:w="5103" w:type="dxa"/>
            <w:tcBorders>
              <w:top w:val="single" w:sz="4" w:space="0" w:color="auto"/>
              <w:left w:val="single" w:sz="4" w:space="0" w:color="auto"/>
              <w:bottom w:val="single" w:sz="4" w:space="0" w:color="auto"/>
              <w:right w:val="single" w:sz="4" w:space="0" w:color="auto"/>
            </w:tcBorders>
          </w:tcPr>
          <w:p w14:paraId="309F8F29" w14:textId="77777777" w:rsidR="002B6054" w:rsidRDefault="002B6054">
            <w:pPr>
              <w:tabs>
                <w:tab w:val="left" w:pos="993"/>
              </w:tabs>
              <w:spacing w:line="240" w:lineRule="auto"/>
              <w:ind w:firstLine="709"/>
              <w:jc w:val="both"/>
              <w:rPr>
                <w:rFonts w:ascii="Times New Roman" w:hAnsi="Times New Roman" w:cs="Times New Roman"/>
                <w:sz w:val="20"/>
                <w:szCs w:val="20"/>
                <w:lang w:eastAsia="en-US"/>
              </w:rPr>
            </w:pPr>
            <w:r>
              <w:rPr>
                <w:rFonts w:ascii="Times New Roman" w:hAnsi="Times New Roman" w:cs="Times New Roman"/>
                <w:sz w:val="20"/>
                <w:szCs w:val="20"/>
                <w:lang w:eastAsia="en-US"/>
              </w:rPr>
              <w:t>Робочим проектом передбачено реконструкцію існуючої котельні шляхом демонтажу старого обладнання, що має низьку енергоефективність на нове високоефективне обладнання з високим К.К.Д.  В котельні передбачено встановлення двох водогрійних котлів КВТ- 1500М тепловою потужністю 150МВт кожен та допоміжного тепломеханічного обладнання. Вихідна вода використовується із господарсько-питної водопровідної мережі підприємства . В приміщенні котельні передбачено встановлення наступного допоміжного тепломеханічного обладнання:</w:t>
            </w:r>
          </w:p>
          <w:p w14:paraId="7443DDF3"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котлові насоси </w:t>
            </w:r>
            <w:r>
              <w:rPr>
                <w:rFonts w:ascii="Times New Roman" w:hAnsi="Times New Roman" w:cs="Times New Roman"/>
                <w:sz w:val="20"/>
                <w:szCs w:val="20"/>
                <w:lang w:val="en-US" w:eastAsia="en-US"/>
              </w:rPr>
              <w:t>WILO</w:t>
            </w:r>
            <w:r w:rsidRPr="002B6054">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IPL</w:t>
            </w:r>
            <w:r>
              <w:rPr>
                <w:rFonts w:ascii="Times New Roman" w:hAnsi="Times New Roman" w:cs="Times New Roman"/>
                <w:sz w:val="20"/>
                <w:szCs w:val="20"/>
                <w:lang w:eastAsia="en-US"/>
              </w:rPr>
              <w:t xml:space="preserve"> 80/115-2.2/2 </w:t>
            </w:r>
            <w:r>
              <w:rPr>
                <w:rFonts w:ascii="Times New Roman" w:hAnsi="Times New Roman" w:cs="Times New Roman"/>
                <w:sz w:val="20"/>
                <w:szCs w:val="20"/>
                <w:lang w:val="en-US" w:eastAsia="en-US"/>
              </w:rPr>
              <w:t>PN</w:t>
            </w:r>
            <w:r>
              <w:rPr>
                <w:rFonts w:ascii="Times New Roman" w:hAnsi="Times New Roman" w:cs="Times New Roman"/>
                <w:sz w:val="20"/>
                <w:szCs w:val="20"/>
                <w:lang w:eastAsia="en-US"/>
              </w:rPr>
              <w:t xml:space="preserve">10 </w:t>
            </w:r>
            <w:r>
              <w:rPr>
                <w:rFonts w:ascii="Times New Roman" w:hAnsi="Times New Roman" w:cs="Times New Roman"/>
                <w:sz w:val="20"/>
                <w:szCs w:val="20"/>
                <w:lang w:val="en-US" w:eastAsia="en-US"/>
              </w:rPr>
              <w:t>Q</w:t>
            </w:r>
            <w:r>
              <w:rPr>
                <w:rFonts w:ascii="Times New Roman" w:hAnsi="Times New Roman" w:cs="Times New Roman"/>
                <w:sz w:val="20"/>
                <w:szCs w:val="20"/>
                <w:lang w:eastAsia="en-US"/>
              </w:rPr>
              <w:t xml:space="preserve">=64,5 м3/год; </w:t>
            </w:r>
            <w:r>
              <w:rPr>
                <w:rFonts w:ascii="Times New Roman" w:hAnsi="Times New Roman" w:cs="Times New Roman"/>
                <w:sz w:val="20"/>
                <w:szCs w:val="20"/>
                <w:lang w:val="en-US" w:eastAsia="en-US"/>
              </w:rPr>
              <w:t>H</w:t>
            </w:r>
            <w:r>
              <w:rPr>
                <w:rFonts w:ascii="Times New Roman" w:hAnsi="Times New Roman" w:cs="Times New Roman"/>
                <w:sz w:val="20"/>
                <w:szCs w:val="20"/>
                <w:lang w:eastAsia="en-US"/>
              </w:rPr>
              <w:t xml:space="preserve">=7,0м </w:t>
            </w:r>
            <w:r>
              <w:rPr>
                <w:rFonts w:ascii="Times New Roman" w:hAnsi="Times New Roman" w:cs="Times New Roman"/>
                <w:sz w:val="20"/>
                <w:szCs w:val="20"/>
                <w:lang w:val="en-US" w:eastAsia="en-US"/>
              </w:rPr>
              <w:t>N</w:t>
            </w:r>
            <w:r>
              <w:rPr>
                <w:rFonts w:ascii="Times New Roman" w:hAnsi="Times New Roman" w:cs="Times New Roman"/>
                <w:sz w:val="20"/>
                <w:szCs w:val="20"/>
                <w:lang w:eastAsia="en-US"/>
              </w:rPr>
              <w:t>=2,2кВт ( 2 робочі, 1-резервний на складі);</w:t>
            </w:r>
          </w:p>
          <w:p w14:paraId="6AA6AD1C"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два мережних циркуляційних насоси </w:t>
            </w:r>
            <w:r>
              <w:rPr>
                <w:rFonts w:ascii="Times New Roman" w:hAnsi="Times New Roman" w:cs="Times New Roman"/>
                <w:sz w:val="20"/>
                <w:szCs w:val="20"/>
                <w:lang w:val="en-US" w:eastAsia="en-US"/>
              </w:rPr>
              <w:t>WILO</w:t>
            </w:r>
            <w:r w:rsidRPr="002B6054">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Stratos</w:t>
            </w:r>
            <w:r w:rsidRPr="002B6054">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GIGA</w:t>
            </w:r>
            <w:r>
              <w:rPr>
                <w:rFonts w:ascii="Times New Roman" w:hAnsi="Times New Roman" w:cs="Times New Roman"/>
                <w:sz w:val="20"/>
                <w:szCs w:val="20"/>
                <w:lang w:eastAsia="en-US"/>
              </w:rPr>
              <w:t xml:space="preserve">80/3-39/15 </w:t>
            </w:r>
            <w:r>
              <w:rPr>
                <w:rFonts w:ascii="Times New Roman" w:hAnsi="Times New Roman" w:cs="Times New Roman"/>
                <w:sz w:val="20"/>
                <w:szCs w:val="20"/>
                <w:lang w:val="en-US" w:eastAsia="en-US"/>
              </w:rPr>
              <w:t>Q</w:t>
            </w:r>
            <w:r>
              <w:rPr>
                <w:rFonts w:ascii="Times New Roman" w:hAnsi="Times New Roman" w:cs="Times New Roman"/>
                <w:sz w:val="20"/>
                <w:szCs w:val="20"/>
                <w:lang w:eastAsia="en-US"/>
              </w:rPr>
              <w:t xml:space="preserve">=86 </w:t>
            </w:r>
            <w:proofErr w:type="spellStart"/>
            <w:r>
              <w:rPr>
                <w:rFonts w:ascii="Times New Roman" w:hAnsi="Times New Roman" w:cs="Times New Roman"/>
                <w:sz w:val="20"/>
                <w:szCs w:val="20"/>
                <w:lang w:eastAsia="en-US"/>
              </w:rPr>
              <w:t>м.куб</w:t>
            </w:r>
            <w:proofErr w:type="spellEnd"/>
            <w:r>
              <w:rPr>
                <w:rFonts w:ascii="Times New Roman" w:hAnsi="Times New Roman" w:cs="Times New Roman"/>
                <w:sz w:val="20"/>
                <w:szCs w:val="20"/>
                <w:lang w:eastAsia="en-US"/>
              </w:rPr>
              <w:t>/г;</w:t>
            </w:r>
            <w:r>
              <w:rPr>
                <w:rFonts w:ascii="Times New Roman" w:hAnsi="Times New Roman" w:cs="Times New Roman"/>
                <w:sz w:val="20"/>
                <w:szCs w:val="20"/>
                <w:lang w:val="en-US" w:eastAsia="en-US"/>
              </w:rPr>
              <w:t>H</w:t>
            </w:r>
            <w:r>
              <w:rPr>
                <w:rFonts w:ascii="Times New Roman" w:hAnsi="Times New Roman" w:cs="Times New Roman"/>
                <w:sz w:val="20"/>
                <w:szCs w:val="20"/>
                <w:lang w:eastAsia="en-US"/>
              </w:rPr>
              <w:t>=30м.в.ст. ( робочий та резервний) для опалення;</w:t>
            </w:r>
          </w:p>
          <w:p w14:paraId="174BF280"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циркуляційний насос системи опалення котельні </w:t>
            </w:r>
            <w:r>
              <w:rPr>
                <w:rFonts w:ascii="Times New Roman" w:hAnsi="Times New Roman" w:cs="Times New Roman"/>
                <w:sz w:val="20"/>
                <w:szCs w:val="20"/>
                <w:lang w:val="en-US" w:eastAsia="en-US"/>
              </w:rPr>
              <w:t>WILO</w:t>
            </w:r>
            <w:r>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Yonos</w:t>
            </w:r>
            <w:r>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MAXO</w:t>
            </w:r>
            <w:r>
              <w:rPr>
                <w:rFonts w:ascii="Times New Roman" w:hAnsi="Times New Roman" w:cs="Times New Roman"/>
                <w:sz w:val="20"/>
                <w:szCs w:val="20"/>
                <w:lang w:val="ru-RU" w:eastAsia="en-US"/>
              </w:rPr>
              <w:t xml:space="preserve"> </w:t>
            </w:r>
            <w:r>
              <w:rPr>
                <w:rFonts w:ascii="Times New Roman" w:hAnsi="Times New Roman" w:cs="Times New Roman"/>
                <w:sz w:val="20"/>
                <w:szCs w:val="20"/>
                <w:lang w:eastAsia="en-US"/>
              </w:rPr>
              <w:t xml:space="preserve">25/0,5-10 </w:t>
            </w:r>
            <w:r>
              <w:rPr>
                <w:rFonts w:ascii="Times New Roman" w:hAnsi="Times New Roman" w:cs="Times New Roman"/>
                <w:sz w:val="20"/>
                <w:szCs w:val="20"/>
                <w:lang w:val="en-US" w:eastAsia="en-US"/>
              </w:rPr>
              <w:t>V</w:t>
            </w:r>
            <w:r>
              <w:rPr>
                <w:rFonts w:ascii="Times New Roman" w:hAnsi="Times New Roman" w:cs="Times New Roman"/>
                <w:sz w:val="20"/>
                <w:szCs w:val="20"/>
                <w:lang w:val="ru-RU" w:eastAsia="en-US"/>
              </w:rPr>
              <w:t xml:space="preserve">=4.0 </w:t>
            </w:r>
            <w:r>
              <w:rPr>
                <w:rFonts w:ascii="Times New Roman" w:hAnsi="Times New Roman" w:cs="Times New Roman"/>
                <w:sz w:val="20"/>
                <w:szCs w:val="20"/>
                <w:lang w:eastAsia="en-US"/>
              </w:rPr>
              <w:t xml:space="preserve">м3/год, Н=5 </w:t>
            </w:r>
            <w:proofErr w:type="spellStart"/>
            <w:r>
              <w:rPr>
                <w:rFonts w:ascii="Times New Roman" w:hAnsi="Times New Roman" w:cs="Times New Roman"/>
                <w:sz w:val="20"/>
                <w:szCs w:val="20"/>
                <w:lang w:eastAsia="en-US"/>
              </w:rPr>
              <w:t>м.в.ст</w:t>
            </w:r>
            <w:proofErr w:type="spellEnd"/>
            <w:r>
              <w:rPr>
                <w:rFonts w:ascii="Times New Roman" w:hAnsi="Times New Roman" w:cs="Times New Roman"/>
                <w:sz w:val="20"/>
                <w:szCs w:val="20"/>
                <w:lang w:eastAsia="en-US"/>
              </w:rPr>
              <w:t xml:space="preserve"> ( робочий та 1 резервний на складі) для циркуляції контуру опалення котельні;</w:t>
            </w:r>
          </w:p>
          <w:p w14:paraId="57A2DE7B"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два </w:t>
            </w:r>
            <w:proofErr w:type="spellStart"/>
            <w:r>
              <w:rPr>
                <w:rFonts w:ascii="Times New Roman" w:hAnsi="Times New Roman" w:cs="Times New Roman"/>
                <w:sz w:val="20"/>
                <w:szCs w:val="20"/>
                <w:lang w:eastAsia="en-US"/>
              </w:rPr>
              <w:t>трьохходові</w:t>
            </w:r>
            <w:proofErr w:type="spellEnd"/>
            <w:r>
              <w:rPr>
                <w:rFonts w:ascii="Times New Roman" w:hAnsi="Times New Roman" w:cs="Times New Roman"/>
                <w:sz w:val="20"/>
                <w:szCs w:val="20"/>
                <w:lang w:eastAsia="en-US"/>
              </w:rPr>
              <w:t xml:space="preserve"> клапани </w:t>
            </w:r>
            <w:r>
              <w:rPr>
                <w:rFonts w:ascii="Times New Roman" w:hAnsi="Times New Roman" w:cs="Times New Roman"/>
                <w:sz w:val="20"/>
                <w:szCs w:val="20"/>
                <w:lang w:val="en-US" w:eastAsia="en-US"/>
              </w:rPr>
              <w:t>Danfoss</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VF</w:t>
            </w:r>
            <w:r>
              <w:rPr>
                <w:rFonts w:ascii="Times New Roman" w:hAnsi="Times New Roman" w:cs="Times New Roman"/>
                <w:sz w:val="20"/>
                <w:szCs w:val="20"/>
                <w:lang w:eastAsia="en-US"/>
              </w:rPr>
              <w:t xml:space="preserve">3 </w:t>
            </w:r>
            <w:r>
              <w:rPr>
                <w:rFonts w:ascii="Times New Roman" w:hAnsi="Times New Roman" w:cs="Times New Roman"/>
                <w:sz w:val="20"/>
                <w:szCs w:val="20"/>
                <w:lang w:val="en-US" w:eastAsia="en-US"/>
              </w:rPr>
              <w:t>DN</w:t>
            </w:r>
            <w:r>
              <w:rPr>
                <w:rFonts w:ascii="Times New Roman" w:hAnsi="Times New Roman" w:cs="Times New Roman"/>
                <w:sz w:val="20"/>
                <w:szCs w:val="20"/>
                <w:lang w:eastAsia="en-US"/>
              </w:rPr>
              <w:t>100 для запобігання зниженню температури води в зворотному трубопроводі менше 60град С;</w:t>
            </w:r>
          </w:p>
          <w:p w14:paraId="1E3E078D"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lastRenderedPageBreak/>
              <w:t>трьохходовий</w:t>
            </w:r>
            <w:proofErr w:type="spellEnd"/>
            <w:r>
              <w:rPr>
                <w:rFonts w:ascii="Times New Roman" w:hAnsi="Times New Roman" w:cs="Times New Roman"/>
                <w:sz w:val="20"/>
                <w:szCs w:val="20"/>
                <w:lang w:eastAsia="en-US"/>
              </w:rPr>
              <w:t xml:space="preserve"> клапан </w:t>
            </w:r>
            <w:r>
              <w:rPr>
                <w:rFonts w:ascii="Times New Roman" w:hAnsi="Times New Roman" w:cs="Times New Roman"/>
                <w:sz w:val="20"/>
                <w:szCs w:val="20"/>
                <w:lang w:val="en-US" w:eastAsia="en-US"/>
              </w:rPr>
              <w:t>Danfoss</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VF</w:t>
            </w:r>
            <w:r>
              <w:rPr>
                <w:rFonts w:ascii="Times New Roman" w:hAnsi="Times New Roman" w:cs="Times New Roman"/>
                <w:sz w:val="20"/>
                <w:szCs w:val="20"/>
                <w:lang w:eastAsia="en-US"/>
              </w:rPr>
              <w:t xml:space="preserve">3 </w:t>
            </w:r>
            <w:r>
              <w:rPr>
                <w:rFonts w:ascii="Times New Roman" w:hAnsi="Times New Roman" w:cs="Times New Roman"/>
                <w:sz w:val="20"/>
                <w:szCs w:val="20"/>
                <w:lang w:val="en-US" w:eastAsia="en-US"/>
              </w:rPr>
              <w:t>DN</w:t>
            </w:r>
            <w:r>
              <w:rPr>
                <w:rFonts w:ascii="Times New Roman" w:hAnsi="Times New Roman" w:cs="Times New Roman"/>
                <w:sz w:val="20"/>
                <w:szCs w:val="20"/>
                <w:lang w:eastAsia="en-US"/>
              </w:rPr>
              <w:t xml:space="preserve">125 для </w:t>
            </w:r>
            <w:proofErr w:type="spellStart"/>
            <w:r>
              <w:rPr>
                <w:rFonts w:ascii="Times New Roman" w:hAnsi="Times New Roman" w:cs="Times New Roman"/>
                <w:sz w:val="20"/>
                <w:szCs w:val="20"/>
                <w:lang w:eastAsia="en-US"/>
              </w:rPr>
              <w:t>погодозалежного</w:t>
            </w:r>
            <w:proofErr w:type="spellEnd"/>
            <w:r>
              <w:rPr>
                <w:rFonts w:ascii="Times New Roman" w:hAnsi="Times New Roman" w:cs="Times New Roman"/>
                <w:sz w:val="20"/>
                <w:szCs w:val="20"/>
                <w:lang w:eastAsia="en-US"/>
              </w:rPr>
              <w:t xml:space="preserve"> регулювання мережевого теплоносія;</w:t>
            </w:r>
          </w:p>
          <w:p w14:paraId="4CB47128"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установка </w:t>
            </w:r>
            <w:proofErr w:type="spellStart"/>
            <w:r>
              <w:rPr>
                <w:rFonts w:ascii="Times New Roman" w:hAnsi="Times New Roman" w:cs="Times New Roman"/>
                <w:sz w:val="20"/>
                <w:szCs w:val="20"/>
                <w:lang w:eastAsia="en-US"/>
              </w:rPr>
              <w:t>пом»якшення</w:t>
            </w:r>
            <w:proofErr w:type="spellEnd"/>
            <w:r>
              <w:rPr>
                <w:rFonts w:ascii="Times New Roman" w:hAnsi="Times New Roman" w:cs="Times New Roman"/>
                <w:sz w:val="20"/>
                <w:szCs w:val="20"/>
                <w:lang w:eastAsia="en-US"/>
              </w:rPr>
              <w:t xml:space="preserve"> води </w:t>
            </w:r>
            <w:proofErr w:type="spellStart"/>
            <w:r>
              <w:rPr>
                <w:rFonts w:ascii="Times New Roman" w:hAnsi="Times New Roman" w:cs="Times New Roman"/>
                <w:sz w:val="20"/>
                <w:szCs w:val="20"/>
                <w:lang w:val="en-US" w:eastAsia="en-US"/>
              </w:rPr>
              <w:t>Ecosoft</w:t>
            </w:r>
            <w:proofErr w:type="spellEnd"/>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DFU</w:t>
            </w:r>
            <w:r>
              <w:rPr>
                <w:rFonts w:ascii="Times New Roman" w:hAnsi="Times New Roman" w:cs="Times New Roman"/>
                <w:sz w:val="20"/>
                <w:szCs w:val="20"/>
                <w:lang w:eastAsia="en-US"/>
              </w:rPr>
              <w:t>-1054</w:t>
            </w:r>
            <w:r>
              <w:rPr>
                <w:rFonts w:ascii="Times New Roman" w:hAnsi="Times New Roman" w:cs="Times New Roman"/>
                <w:sz w:val="20"/>
                <w:szCs w:val="20"/>
                <w:lang w:val="en-US" w:eastAsia="en-US"/>
              </w:rPr>
              <w:t>GL</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TWIN</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B</w:t>
            </w:r>
            <w:r>
              <w:rPr>
                <w:rFonts w:ascii="Times New Roman" w:hAnsi="Times New Roman" w:cs="Times New Roman"/>
                <w:sz w:val="20"/>
                <w:szCs w:val="20"/>
                <w:lang w:eastAsia="en-US"/>
              </w:rPr>
              <w:t>=1.8 2.5м3/год;</w:t>
            </w:r>
          </w:p>
          <w:p w14:paraId="4165E991"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підживлювальна станція </w:t>
            </w:r>
            <w:r>
              <w:rPr>
                <w:rFonts w:ascii="Times New Roman" w:hAnsi="Times New Roman" w:cs="Times New Roman"/>
                <w:sz w:val="20"/>
                <w:szCs w:val="20"/>
                <w:lang w:val="en-US" w:eastAsia="en-US"/>
              </w:rPr>
              <w:t>WILO</w:t>
            </w:r>
            <w:r>
              <w:rPr>
                <w:rFonts w:ascii="Times New Roman" w:hAnsi="Times New Roman" w:cs="Times New Roman"/>
                <w:sz w:val="20"/>
                <w:szCs w:val="20"/>
                <w:lang w:eastAsia="en-US"/>
              </w:rPr>
              <w:t>-</w:t>
            </w:r>
            <w:r>
              <w:rPr>
                <w:rFonts w:ascii="Times New Roman" w:hAnsi="Times New Roman" w:cs="Times New Roman"/>
                <w:sz w:val="20"/>
                <w:szCs w:val="20"/>
                <w:lang w:val="en-US" w:eastAsia="en-US"/>
              </w:rPr>
              <w:t>Jet</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HWJ</w:t>
            </w:r>
            <w:r>
              <w:rPr>
                <w:rFonts w:ascii="Times New Roman" w:hAnsi="Times New Roman" w:cs="Times New Roman"/>
                <w:sz w:val="20"/>
                <w:szCs w:val="20"/>
                <w:lang w:eastAsia="en-US"/>
              </w:rPr>
              <w:t xml:space="preserve"> 301</w:t>
            </w:r>
            <w:r>
              <w:rPr>
                <w:rFonts w:ascii="Times New Roman" w:hAnsi="Times New Roman" w:cs="Times New Roman"/>
                <w:sz w:val="20"/>
                <w:szCs w:val="20"/>
                <w:lang w:val="en-US" w:eastAsia="en-US"/>
              </w:rPr>
              <w:t>EM</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B</w:t>
            </w:r>
            <w:r>
              <w:rPr>
                <w:rFonts w:ascii="Times New Roman" w:hAnsi="Times New Roman" w:cs="Times New Roman"/>
                <w:sz w:val="20"/>
                <w:szCs w:val="20"/>
                <w:lang w:eastAsia="en-US"/>
              </w:rPr>
              <w:t xml:space="preserve">=4.0м3/год, Н=28м, </w:t>
            </w:r>
            <w:r>
              <w:rPr>
                <w:rFonts w:ascii="Times New Roman" w:hAnsi="Times New Roman" w:cs="Times New Roman"/>
                <w:sz w:val="20"/>
                <w:szCs w:val="20"/>
                <w:lang w:val="en-US" w:eastAsia="en-US"/>
              </w:rPr>
              <w:t>N</w:t>
            </w:r>
            <w:r>
              <w:rPr>
                <w:rFonts w:ascii="Times New Roman" w:hAnsi="Times New Roman" w:cs="Times New Roman"/>
                <w:sz w:val="20"/>
                <w:szCs w:val="20"/>
                <w:lang w:eastAsia="en-US"/>
              </w:rPr>
              <w:t>=1.10кВт 220В (робоча, резервна);</w:t>
            </w:r>
          </w:p>
          <w:p w14:paraId="7DBE37F0"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бак запасу води </w:t>
            </w:r>
            <w:proofErr w:type="spellStart"/>
            <w:r>
              <w:rPr>
                <w:rFonts w:ascii="Times New Roman" w:hAnsi="Times New Roman" w:cs="Times New Roman"/>
                <w:sz w:val="20"/>
                <w:szCs w:val="20"/>
                <w:lang w:val="en-US" w:eastAsia="en-US"/>
              </w:rPr>
              <w:t>Elbi</w:t>
            </w:r>
            <w:proofErr w:type="spellEnd"/>
            <w:r>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CV</w:t>
            </w:r>
            <w:r>
              <w:rPr>
                <w:rFonts w:ascii="Times New Roman" w:hAnsi="Times New Roman" w:cs="Times New Roman"/>
                <w:sz w:val="20"/>
                <w:szCs w:val="20"/>
                <w:lang w:val="ru-RU" w:eastAsia="en-US"/>
              </w:rPr>
              <w:t xml:space="preserve"> 1000 </w:t>
            </w:r>
            <w:r>
              <w:rPr>
                <w:rFonts w:ascii="Times New Roman" w:hAnsi="Times New Roman" w:cs="Times New Roman"/>
                <w:sz w:val="20"/>
                <w:szCs w:val="20"/>
                <w:lang w:val="en-US" w:eastAsia="en-US"/>
              </w:rPr>
              <w:t>V</w:t>
            </w:r>
            <w:r>
              <w:rPr>
                <w:rFonts w:ascii="Times New Roman" w:hAnsi="Times New Roman" w:cs="Times New Roman"/>
                <w:sz w:val="20"/>
                <w:szCs w:val="20"/>
                <w:lang w:val="ru-RU" w:eastAsia="en-US"/>
              </w:rPr>
              <w:t>=1000</w:t>
            </w:r>
            <w:r>
              <w:rPr>
                <w:rFonts w:ascii="Times New Roman" w:hAnsi="Times New Roman" w:cs="Times New Roman"/>
                <w:sz w:val="20"/>
                <w:szCs w:val="20"/>
                <w:lang w:eastAsia="en-US"/>
              </w:rPr>
              <w:t>л</w:t>
            </w:r>
          </w:p>
          <w:p w14:paraId="0574F158" w14:textId="77777777" w:rsidR="002B6054" w:rsidRDefault="002B6054">
            <w:p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ab/>
              <w:t xml:space="preserve">Водогрійні котли КВТ-1500М обладнуються технологічними трубопроводами ( подавальним, зворотним, дренажним), </w:t>
            </w:r>
            <w:proofErr w:type="spellStart"/>
            <w:r>
              <w:rPr>
                <w:rFonts w:ascii="Times New Roman" w:hAnsi="Times New Roman" w:cs="Times New Roman"/>
                <w:sz w:val="20"/>
                <w:szCs w:val="20"/>
                <w:lang w:eastAsia="en-US"/>
              </w:rPr>
              <w:t>запірно</w:t>
            </w:r>
            <w:proofErr w:type="spellEnd"/>
            <w:r>
              <w:rPr>
                <w:rFonts w:ascii="Times New Roman" w:hAnsi="Times New Roman" w:cs="Times New Roman"/>
                <w:sz w:val="20"/>
                <w:szCs w:val="20"/>
                <w:lang w:eastAsia="en-US"/>
              </w:rPr>
              <w:t>-регулюючою арматурою, системою автоматики регулювання, контролю та безпеки. Кожен котел обладнаний двома запобіжними пристроями та приладами КВП.</w:t>
            </w:r>
          </w:p>
          <w:p w14:paraId="725B79E2" w14:textId="77777777" w:rsidR="002B6054" w:rsidRDefault="002B6054">
            <w:pPr>
              <w:pStyle w:val="a4"/>
              <w:widowControl w:val="0"/>
              <w:spacing w:line="240" w:lineRule="auto"/>
              <w:ind w:left="0" w:firstLine="709"/>
              <w:jc w:val="both"/>
              <w:rPr>
                <w:rFonts w:ascii="Times New Roman" w:hAnsi="Times New Roman" w:cs="Times New Roman"/>
                <w:sz w:val="20"/>
                <w:szCs w:val="20"/>
                <w:lang w:eastAsia="en-US"/>
              </w:rPr>
            </w:pPr>
          </w:p>
        </w:tc>
        <w:tc>
          <w:tcPr>
            <w:tcW w:w="4814" w:type="dxa"/>
            <w:tcBorders>
              <w:top w:val="single" w:sz="4" w:space="0" w:color="auto"/>
              <w:left w:val="single" w:sz="4" w:space="0" w:color="auto"/>
              <w:bottom w:val="single" w:sz="4" w:space="0" w:color="auto"/>
              <w:right w:val="single" w:sz="4" w:space="0" w:color="auto"/>
            </w:tcBorders>
          </w:tcPr>
          <w:p w14:paraId="3A5FC6CB" w14:textId="77777777" w:rsidR="002B6054" w:rsidRDefault="002B6054">
            <w:pPr>
              <w:tabs>
                <w:tab w:val="left" w:pos="993"/>
              </w:tabs>
              <w:spacing w:line="240" w:lineRule="auto"/>
              <w:ind w:firstLine="709"/>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Робочим проектом передбачено реконструкцію існуючої котельні шляхом демонтажу старого обладнання, що має низьку енергоефективність на нове високоефективне обладнання з високим К.К.Д.  В котельні передбачено встановлення двох водогрійних котлів КВТ- 1500М тепловою потужністю 150МВт кожен та допоміжного тепломеханічного обладнання </w:t>
            </w:r>
            <w:r>
              <w:rPr>
                <w:rFonts w:ascii="Times New Roman" w:hAnsi="Times New Roman" w:cs="Times New Roman"/>
                <w:sz w:val="20"/>
                <w:szCs w:val="20"/>
                <w:highlight w:val="cyan"/>
                <w:lang w:eastAsia="en-US"/>
              </w:rPr>
              <w:t>або їх аналогів</w:t>
            </w:r>
            <w:r>
              <w:rPr>
                <w:rFonts w:ascii="Times New Roman" w:hAnsi="Times New Roman" w:cs="Times New Roman"/>
                <w:sz w:val="20"/>
                <w:szCs w:val="20"/>
                <w:lang w:eastAsia="en-US"/>
              </w:rPr>
              <w:t>. Вихідна вода використовується із господарсько-питної водопровідної мережі підприємства. В приміщенні котельні передбачено встановлення наступного допоміжного тепломеханічного обладнання:</w:t>
            </w:r>
          </w:p>
          <w:p w14:paraId="075A1E9C"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котлові насоси </w:t>
            </w:r>
            <w:r>
              <w:rPr>
                <w:rFonts w:ascii="Times New Roman" w:hAnsi="Times New Roman" w:cs="Times New Roman"/>
                <w:sz w:val="20"/>
                <w:szCs w:val="20"/>
                <w:lang w:val="en-US" w:eastAsia="en-US"/>
              </w:rPr>
              <w:t>WILO</w:t>
            </w:r>
            <w:r w:rsidRPr="002B6054">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IPL</w:t>
            </w:r>
            <w:r>
              <w:rPr>
                <w:rFonts w:ascii="Times New Roman" w:hAnsi="Times New Roman" w:cs="Times New Roman"/>
                <w:sz w:val="20"/>
                <w:szCs w:val="20"/>
                <w:lang w:eastAsia="en-US"/>
              </w:rPr>
              <w:t xml:space="preserve"> 80/115-2.2/2 </w:t>
            </w:r>
            <w:r>
              <w:rPr>
                <w:rFonts w:ascii="Times New Roman" w:hAnsi="Times New Roman" w:cs="Times New Roman"/>
                <w:sz w:val="20"/>
                <w:szCs w:val="20"/>
                <w:lang w:val="en-US" w:eastAsia="en-US"/>
              </w:rPr>
              <w:t>PN</w:t>
            </w:r>
            <w:r>
              <w:rPr>
                <w:rFonts w:ascii="Times New Roman" w:hAnsi="Times New Roman" w:cs="Times New Roman"/>
                <w:sz w:val="20"/>
                <w:szCs w:val="20"/>
                <w:lang w:eastAsia="en-US"/>
              </w:rPr>
              <w:t xml:space="preserve">10 </w:t>
            </w:r>
            <w:r>
              <w:rPr>
                <w:rFonts w:ascii="Times New Roman" w:hAnsi="Times New Roman" w:cs="Times New Roman"/>
                <w:sz w:val="20"/>
                <w:szCs w:val="20"/>
                <w:lang w:val="en-US" w:eastAsia="en-US"/>
              </w:rPr>
              <w:t>Q</w:t>
            </w:r>
            <w:r>
              <w:rPr>
                <w:rFonts w:ascii="Times New Roman" w:hAnsi="Times New Roman" w:cs="Times New Roman"/>
                <w:sz w:val="20"/>
                <w:szCs w:val="20"/>
                <w:lang w:eastAsia="en-US"/>
              </w:rPr>
              <w:t xml:space="preserve">=64,5 м3/год; </w:t>
            </w:r>
            <w:r>
              <w:rPr>
                <w:rFonts w:ascii="Times New Roman" w:hAnsi="Times New Roman" w:cs="Times New Roman"/>
                <w:sz w:val="20"/>
                <w:szCs w:val="20"/>
                <w:lang w:val="en-US" w:eastAsia="en-US"/>
              </w:rPr>
              <w:t>H</w:t>
            </w:r>
            <w:r>
              <w:rPr>
                <w:rFonts w:ascii="Times New Roman" w:hAnsi="Times New Roman" w:cs="Times New Roman"/>
                <w:sz w:val="20"/>
                <w:szCs w:val="20"/>
                <w:lang w:eastAsia="en-US"/>
              </w:rPr>
              <w:t xml:space="preserve">=7,0м </w:t>
            </w:r>
            <w:r>
              <w:rPr>
                <w:rFonts w:ascii="Times New Roman" w:hAnsi="Times New Roman" w:cs="Times New Roman"/>
                <w:sz w:val="20"/>
                <w:szCs w:val="20"/>
                <w:lang w:val="en-US" w:eastAsia="en-US"/>
              </w:rPr>
              <w:t>N</w:t>
            </w:r>
            <w:r>
              <w:rPr>
                <w:rFonts w:ascii="Times New Roman" w:hAnsi="Times New Roman" w:cs="Times New Roman"/>
                <w:sz w:val="20"/>
                <w:szCs w:val="20"/>
                <w:lang w:eastAsia="en-US"/>
              </w:rPr>
              <w:t xml:space="preserve">=2,2кВт ( 2 робочі, 1-резервний на складі) </w:t>
            </w:r>
            <w:r>
              <w:rPr>
                <w:rFonts w:ascii="Times New Roman" w:hAnsi="Times New Roman" w:cs="Times New Roman"/>
                <w:sz w:val="20"/>
                <w:szCs w:val="20"/>
                <w:highlight w:val="cyan"/>
                <w:lang w:eastAsia="en-US"/>
              </w:rPr>
              <w:t>або їх аналоги;</w:t>
            </w:r>
          </w:p>
          <w:p w14:paraId="2754F761"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два мережних циркуляційних насоси </w:t>
            </w:r>
            <w:r>
              <w:rPr>
                <w:rFonts w:ascii="Times New Roman" w:hAnsi="Times New Roman" w:cs="Times New Roman"/>
                <w:sz w:val="20"/>
                <w:szCs w:val="20"/>
                <w:lang w:val="en-US" w:eastAsia="en-US"/>
              </w:rPr>
              <w:t>WILO</w:t>
            </w:r>
            <w:r w:rsidRPr="002B6054">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Stratos</w:t>
            </w:r>
            <w:r w:rsidRPr="002B6054">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GIGA</w:t>
            </w:r>
            <w:r>
              <w:rPr>
                <w:rFonts w:ascii="Times New Roman" w:hAnsi="Times New Roman" w:cs="Times New Roman"/>
                <w:sz w:val="20"/>
                <w:szCs w:val="20"/>
                <w:lang w:eastAsia="en-US"/>
              </w:rPr>
              <w:t xml:space="preserve">80/3-39/15 </w:t>
            </w:r>
            <w:r>
              <w:rPr>
                <w:rFonts w:ascii="Times New Roman" w:hAnsi="Times New Roman" w:cs="Times New Roman"/>
                <w:sz w:val="20"/>
                <w:szCs w:val="20"/>
                <w:lang w:val="en-US" w:eastAsia="en-US"/>
              </w:rPr>
              <w:t>Q</w:t>
            </w:r>
            <w:r>
              <w:rPr>
                <w:rFonts w:ascii="Times New Roman" w:hAnsi="Times New Roman" w:cs="Times New Roman"/>
                <w:sz w:val="20"/>
                <w:szCs w:val="20"/>
                <w:lang w:eastAsia="en-US"/>
              </w:rPr>
              <w:t xml:space="preserve">=86 </w:t>
            </w:r>
            <w:proofErr w:type="spellStart"/>
            <w:r>
              <w:rPr>
                <w:rFonts w:ascii="Times New Roman" w:hAnsi="Times New Roman" w:cs="Times New Roman"/>
                <w:sz w:val="20"/>
                <w:szCs w:val="20"/>
                <w:lang w:eastAsia="en-US"/>
              </w:rPr>
              <w:t>м.куб</w:t>
            </w:r>
            <w:proofErr w:type="spellEnd"/>
            <w:r>
              <w:rPr>
                <w:rFonts w:ascii="Times New Roman" w:hAnsi="Times New Roman" w:cs="Times New Roman"/>
                <w:sz w:val="20"/>
                <w:szCs w:val="20"/>
                <w:lang w:eastAsia="en-US"/>
              </w:rPr>
              <w:t>/г;</w:t>
            </w:r>
            <w:r>
              <w:rPr>
                <w:rFonts w:ascii="Times New Roman" w:hAnsi="Times New Roman" w:cs="Times New Roman"/>
                <w:sz w:val="20"/>
                <w:szCs w:val="20"/>
                <w:lang w:val="en-US" w:eastAsia="en-US"/>
              </w:rPr>
              <w:t>H</w:t>
            </w:r>
            <w:r>
              <w:rPr>
                <w:rFonts w:ascii="Times New Roman" w:hAnsi="Times New Roman" w:cs="Times New Roman"/>
                <w:sz w:val="20"/>
                <w:szCs w:val="20"/>
                <w:lang w:eastAsia="en-US"/>
              </w:rPr>
              <w:t xml:space="preserve">=30м.в.ст. ( робочий та резервний) </w:t>
            </w:r>
            <w:r>
              <w:rPr>
                <w:rFonts w:ascii="Times New Roman" w:hAnsi="Times New Roman" w:cs="Times New Roman"/>
                <w:sz w:val="20"/>
                <w:szCs w:val="20"/>
                <w:highlight w:val="cyan"/>
                <w:lang w:eastAsia="en-US"/>
              </w:rPr>
              <w:t>для опалення або їх аналоги;</w:t>
            </w:r>
          </w:p>
          <w:p w14:paraId="01A2FA44"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циркуляційний насос системи опалення котельні </w:t>
            </w:r>
            <w:r>
              <w:rPr>
                <w:rFonts w:ascii="Times New Roman" w:hAnsi="Times New Roman" w:cs="Times New Roman"/>
                <w:sz w:val="20"/>
                <w:szCs w:val="20"/>
                <w:lang w:val="en-US" w:eastAsia="en-US"/>
              </w:rPr>
              <w:t>WILO</w:t>
            </w:r>
            <w:r>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Yonos</w:t>
            </w:r>
            <w:r>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MAXO</w:t>
            </w:r>
            <w:r>
              <w:rPr>
                <w:rFonts w:ascii="Times New Roman" w:hAnsi="Times New Roman" w:cs="Times New Roman"/>
                <w:sz w:val="20"/>
                <w:szCs w:val="20"/>
                <w:lang w:val="ru-RU" w:eastAsia="en-US"/>
              </w:rPr>
              <w:t xml:space="preserve"> </w:t>
            </w:r>
            <w:r>
              <w:rPr>
                <w:rFonts w:ascii="Times New Roman" w:hAnsi="Times New Roman" w:cs="Times New Roman"/>
                <w:sz w:val="20"/>
                <w:szCs w:val="20"/>
                <w:lang w:eastAsia="en-US"/>
              </w:rPr>
              <w:t xml:space="preserve">25/0,5-10 </w:t>
            </w:r>
            <w:r>
              <w:rPr>
                <w:rFonts w:ascii="Times New Roman" w:hAnsi="Times New Roman" w:cs="Times New Roman"/>
                <w:sz w:val="20"/>
                <w:szCs w:val="20"/>
                <w:lang w:val="en-US" w:eastAsia="en-US"/>
              </w:rPr>
              <w:t>V</w:t>
            </w:r>
            <w:r>
              <w:rPr>
                <w:rFonts w:ascii="Times New Roman" w:hAnsi="Times New Roman" w:cs="Times New Roman"/>
                <w:sz w:val="20"/>
                <w:szCs w:val="20"/>
                <w:lang w:val="ru-RU" w:eastAsia="en-US"/>
              </w:rPr>
              <w:t xml:space="preserve">=4.0 </w:t>
            </w:r>
            <w:r>
              <w:rPr>
                <w:rFonts w:ascii="Times New Roman" w:hAnsi="Times New Roman" w:cs="Times New Roman"/>
                <w:sz w:val="20"/>
                <w:szCs w:val="20"/>
                <w:lang w:eastAsia="en-US"/>
              </w:rPr>
              <w:t xml:space="preserve">м3/год, Н=5 </w:t>
            </w:r>
            <w:proofErr w:type="spellStart"/>
            <w:r>
              <w:rPr>
                <w:rFonts w:ascii="Times New Roman" w:hAnsi="Times New Roman" w:cs="Times New Roman"/>
                <w:sz w:val="20"/>
                <w:szCs w:val="20"/>
                <w:lang w:eastAsia="en-US"/>
              </w:rPr>
              <w:t>м.в.ст</w:t>
            </w:r>
            <w:proofErr w:type="spellEnd"/>
            <w:r>
              <w:rPr>
                <w:rFonts w:ascii="Times New Roman" w:hAnsi="Times New Roman" w:cs="Times New Roman"/>
                <w:sz w:val="20"/>
                <w:szCs w:val="20"/>
                <w:lang w:eastAsia="en-US"/>
              </w:rPr>
              <w:t xml:space="preserve"> ( робочий та 1 резервний на складі) для циркуляції контуру опалення котельні </w:t>
            </w:r>
            <w:r>
              <w:rPr>
                <w:rFonts w:ascii="Times New Roman" w:hAnsi="Times New Roman" w:cs="Times New Roman"/>
                <w:sz w:val="20"/>
                <w:szCs w:val="20"/>
                <w:highlight w:val="cyan"/>
                <w:lang w:eastAsia="en-US"/>
              </w:rPr>
              <w:t>або їх аналоги;</w:t>
            </w:r>
          </w:p>
          <w:p w14:paraId="6467B4C1"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два </w:t>
            </w:r>
            <w:proofErr w:type="spellStart"/>
            <w:r>
              <w:rPr>
                <w:rFonts w:ascii="Times New Roman" w:hAnsi="Times New Roman" w:cs="Times New Roman"/>
                <w:sz w:val="20"/>
                <w:szCs w:val="20"/>
                <w:lang w:eastAsia="en-US"/>
              </w:rPr>
              <w:t>трьохходові</w:t>
            </w:r>
            <w:proofErr w:type="spellEnd"/>
            <w:r>
              <w:rPr>
                <w:rFonts w:ascii="Times New Roman" w:hAnsi="Times New Roman" w:cs="Times New Roman"/>
                <w:sz w:val="20"/>
                <w:szCs w:val="20"/>
                <w:lang w:eastAsia="en-US"/>
              </w:rPr>
              <w:t xml:space="preserve"> клапани </w:t>
            </w:r>
            <w:r>
              <w:rPr>
                <w:rFonts w:ascii="Times New Roman" w:hAnsi="Times New Roman" w:cs="Times New Roman"/>
                <w:sz w:val="20"/>
                <w:szCs w:val="20"/>
                <w:lang w:val="en-US" w:eastAsia="en-US"/>
              </w:rPr>
              <w:t>Danfoss</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VF</w:t>
            </w:r>
            <w:r>
              <w:rPr>
                <w:rFonts w:ascii="Times New Roman" w:hAnsi="Times New Roman" w:cs="Times New Roman"/>
                <w:sz w:val="20"/>
                <w:szCs w:val="20"/>
                <w:lang w:eastAsia="en-US"/>
              </w:rPr>
              <w:t xml:space="preserve">3 </w:t>
            </w:r>
            <w:r>
              <w:rPr>
                <w:rFonts w:ascii="Times New Roman" w:hAnsi="Times New Roman" w:cs="Times New Roman"/>
                <w:sz w:val="20"/>
                <w:szCs w:val="20"/>
                <w:lang w:val="en-US" w:eastAsia="en-US"/>
              </w:rPr>
              <w:t>DN</w:t>
            </w:r>
            <w:r>
              <w:rPr>
                <w:rFonts w:ascii="Times New Roman" w:hAnsi="Times New Roman" w:cs="Times New Roman"/>
                <w:sz w:val="20"/>
                <w:szCs w:val="20"/>
                <w:lang w:eastAsia="en-US"/>
              </w:rPr>
              <w:t xml:space="preserve">100 для запобігання зниженню </w:t>
            </w:r>
            <w:r>
              <w:rPr>
                <w:rFonts w:ascii="Times New Roman" w:hAnsi="Times New Roman" w:cs="Times New Roman"/>
                <w:sz w:val="20"/>
                <w:szCs w:val="20"/>
                <w:lang w:eastAsia="en-US"/>
              </w:rPr>
              <w:lastRenderedPageBreak/>
              <w:t xml:space="preserve">температури води в зворотному трубопроводі менше 60град С </w:t>
            </w:r>
            <w:r>
              <w:rPr>
                <w:rFonts w:ascii="Times New Roman" w:hAnsi="Times New Roman" w:cs="Times New Roman"/>
                <w:sz w:val="20"/>
                <w:szCs w:val="20"/>
                <w:highlight w:val="cyan"/>
                <w:lang w:eastAsia="en-US"/>
              </w:rPr>
              <w:t>або їх аналоги;</w:t>
            </w:r>
          </w:p>
          <w:p w14:paraId="798E36D7"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трьохходовий</w:t>
            </w:r>
            <w:proofErr w:type="spellEnd"/>
            <w:r>
              <w:rPr>
                <w:rFonts w:ascii="Times New Roman" w:hAnsi="Times New Roman" w:cs="Times New Roman"/>
                <w:sz w:val="20"/>
                <w:szCs w:val="20"/>
                <w:lang w:eastAsia="en-US"/>
              </w:rPr>
              <w:t xml:space="preserve"> клапан </w:t>
            </w:r>
            <w:r>
              <w:rPr>
                <w:rFonts w:ascii="Times New Roman" w:hAnsi="Times New Roman" w:cs="Times New Roman"/>
                <w:sz w:val="20"/>
                <w:szCs w:val="20"/>
                <w:lang w:val="en-US" w:eastAsia="en-US"/>
              </w:rPr>
              <w:t>Danfoss</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VF</w:t>
            </w:r>
            <w:r>
              <w:rPr>
                <w:rFonts w:ascii="Times New Roman" w:hAnsi="Times New Roman" w:cs="Times New Roman"/>
                <w:sz w:val="20"/>
                <w:szCs w:val="20"/>
                <w:lang w:eastAsia="en-US"/>
              </w:rPr>
              <w:t xml:space="preserve">3 </w:t>
            </w:r>
            <w:r>
              <w:rPr>
                <w:rFonts w:ascii="Times New Roman" w:hAnsi="Times New Roman" w:cs="Times New Roman"/>
                <w:sz w:val="20"/>
                <w:szCs w:val="20"/>
                <w:lang w:val="en-US" w:eastAsia="en-US"/>
              </w:rPr>
              <w:t>DN</w:t>
            </w:r>
            <w:r>
              <w:rPr>
                <w:rFonts w:ascii="Times New Roman" w:hAnsi="Times New Roman" w:cs="Times New Roman"/>
                <w:sz w:val="20"/>
                <w:szCs w:val="20"/>
                <w:lang w:eastAsia="en-US"/>
              </w:rPr>
              <w:t xml:space="preserve">125 для </w:t>
            </w:r>
            <w:proofErr w:type="spellStart"/>
            <w:r>
              <w:rPr>
                <w:rFonts w:ascii="Times New Roman" w:hAnsi="Times New Roman" w:cs="Times New Roman"/>
                <w:sz w:val="20"/>
                <w:szCs w:val="20"/>
                <w:lang w:eastAsia="en-US"/>
              </w:rPr>
              <w:t>погодозалежного</w:t>
            </w:r>
            <w:proofErr w:type="spellEnd"/>
            <w:r>
              <w:rPr>
                <w:rFonts w:ascii="Times New Roman" w:hAnsi="Times New Roman" w:cs="Times New Roman"/>
                <w:sz w:val="20"/>
                <w:szCs w:val="20"/>
                <w:lang w:eastAsia="en-US"/>
              </w:rPr>
              <w:t xml:space="preserve"> регулювання мережевого теплоносія </w:t>
            </w:r>
            <w:r>
              <w:rPr>
                <w:rFonts w:ascii="Times New Roman" w:hAnsi="Times New Roman" w:cs="Times New Roman"/>
                <w:sz w:val="20"/>
                <w:szCs w:val="20"/>
                <w:highlight w:val="cyan"/>
                <w:lang w:eastAsia="en-US"/>
              </w:rPr>
              <w:t>або їх аналоги;</w:t>
            </w:r>
          </w:p>
          <w:p w14:paraId="5FDABC88"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установка </w:t>
            </w:r>
            <w:proofErr w:type="spellStart"/>
            <w:r>
              <w:rPr>
                <w:rFonts w:ascii="Times New Roman" w:hAnsi="Times New Roman" w:cs="Times New Roman"/>
                <w:sz w:val="20"/>
                <w:szCs w:val="20"/>
                <w:lang w:eastAsia="en-US"/>
              </w:rPr>
              <w:t>пом»якшення</w:t>
            </w:r>
            <w:proofErr w:type="spellEnd"/>
            <w:r>
              <w:rPr>
                <w:rFonts w:ascii="Times New Roman" w:hAnsi="Times New Roman" w:cs="Times New Roman"/>
                <w:sz w:val="20"/>
                <w:szCs w:val="20"/>
                <w:lang w:eastAsia="en-US"/>
              </w:rPr>
              <w:t xml:space="preserve"> води </w:t>
            </w:r>
            <w:proofErr w:type="spellStart"/>
            <w:r>
              <w:rPr>
                <w:rFonts w:ascii="Times New Roman" w:hAnsi="Times New Roman" w:cs="Times New Roman"/>
                <w:sz w:val="20"/>
                <w:szCs w:val="20"/>
                <w:lang w:val="en-US" w:eastAsia="en-US"/>
              </w:rPr>
              <w:t>Ecosoft</w:t>
            </w:r>
            <w:proofErr w:type="spellEnd"/>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DFU</w:t>
            </w:r>
            <w:r>
              <w:rPr>
                <w:rFonts w:ascii="Times New Roman" w:hAnsi="Times New Roman" w:cs="Times New Roman"/>
                <w:sz w:val="20"/>
                <w:szCs w:val="20"/>
                <w:lang w:eastAsia="en-US"/>
              </w:rPr>
              <w:t>-1054</w:t>
            </w:r>
            <w:r>
              <w:rPr>
                <w:rFonts w:ascii="Times New Roman" w:hAnsi="Times New Roman" w:cs="Times New Roman"/>
                <w:sz w:val="20"/>
                <w:szCs w:val="20"/>
                <w:lang w:val="en-US" w:eastAsia="en-US"/>
              </w:rPr>
              <w:t>GL</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TWIN</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B</w:t>
            </w:r>
            <w:r>
              <w:rPr>
                <w:rFonts w:ascii="Times New Roman" w:hAnsi="Times New Roman" w:cs="Times New Roman"/>
                <w:sz w:val="20"/>
                <w:szCs w:val="20"/>
                <w:lang w:eastAsia="en-US"/>
              </w:rPr>
              <w:t xml:space="preserve">=1.8 2.5м3/год </w:t>
            </w:r>
            <w:r>
              <w:rPr>
                <w:rFonts w:ascii="Times New Roman" w:hAnsi="Times New Roman" w:cs="Times New Roman"/>
                <w:sz w:val="20"/>
                <w:szCs w:val="20"/>
                <w:highlight w:val="cyan"/>
                <w:lang w:eastAsia="en-US"/>
              </w:rPr>
              <w:t>або їх аналоги;</w:t>
            </w:r>
          </w:p>
          <w:p w14:paraId="657F92EF"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підживлювальна станція </w:t>
            </w:r>
            <w:r>
              <w:rPr>
                <w:rFonts w:ascii="Times New Roman" w:hAnsi="Times New Roman" w:cs="Times New Roman"/>
                <w:sz w:val="20"/>
                <w:szCs w:val="20"/>
                <w:lang w:val="en-US" w:eastAsia="en-US"/>
              </w:rPr>
              <w:t>WILO</w:t>
            </w:r>
            <w:r>
              <w:rPr>
                <w:rFonts w:ascii="Times New Roman" w:hAnsi="Times New Roman" w:cs="Times New Roman"/>
                <w:sz w:val="20"/>
                <w:szCs w:val="20"/>
                <w:lang w:eastAsia="en-US"/>
              </w:rPr>
              <w:t>-</w:t>
            </w:r>
            <w:r>
              <w:rPr>
                <w:rFonts w:ascii="Times New Roman" w:hAnsi="Times New Roman" w:cs="Times New Roman"/>
                <w:sz w:val="20"/>
                <w:szCs w:val="20"/>
                <w:lang w:val="en-US" w:eastAsia="en-US"/>
              </w:rPr>
              <w:t>Jet</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HWJ</w:t>
            </w:r>
            <w:r>
              <w:rPr>
                <w:rFonts w:ascii="Times New Roman" w:hAnsi="Times New Roman" w:cs="Times New Roman"/>
                <w:sz w:val="20"/>
                <w:szCs w:val="20"/>
                <w:lang w:eastAsia="en-US"/>
              </w:rPr>
              <w:t xml:space="preserve"> 301</w:t>
            </w:r>
            <w:r>
              <w:rPr>
                <w:rFonts w:ascii="Times New Roman" w:hAnsi="Times New Roman" w:cs="Times New Roman"/>
                <w:sz w:val="20"/>
                <w:szCs w:val="20"/>
                <w:lang w:val="en-US" w:eastAsia="en-US"/>
              </w:rPr>
              <w:t>EM</w:t>
            </w:r>
            <w:r w:rsidRPr="002B6054">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B</w:t>
            </w:r>
            <w:r>
              <w:rPr>
                <w:rFonts w:ascii="Times New Roman" w:hAnsi="Times New Roman" w:cs="Times New Roman"/>
                <w:sz w:val="20"/>
                <w:szCs w:val="20"/>
                <w:lang w:eastAsia="en-US"/>
              </w:rPr>
              <w:t xml:space="preserve">=4.0м3/год, Н=28м, </w:t>
            </w:r>
            <w:r>
              <w:rPr>
                <w:rFonts w:ascii="Times New Roman" w:hAnsi="Times New Roman" w:cs="Times New Roman"/>
                <w:sz w:val="20"/>
                <w:szCs w:val="20"/>
                <w:lang w:val="en-US" w:eastAsia="en-US"/>
              </w:rPr>
              <w:t>N</w:t>
            </w:r>
            <w:r>
              <w:rPr>
                <w:rFonts w:ascii="Times New Roman" w:hAnsi="Times New Roman" w:cs="Times New Roman"/>
                <w:sz w:val="20"/>
                <w:szCs w:val="20"/>
                <w:lang w:eastAsia="en-US"/>
              </w:rPr>
              <w:t xml:space="preserve">=1.10кВт 220В (робоча, резервна) </w:t>
            </w:r>
            <w:r>
              <w:rPr>
                <w:rFonts w:ascii="Times New Roman" w:hAnsi="Times New Roman" w:cs="Times New Roman"/>
                <w:sz w:val="20"/>
                <w:szCs w:val="20"/>
                <w:highlight w:val="cyan"/>
                <w:lang w:eastAsia="en-US"/>
              </w:rPr>
              <w:t>або їх аналоги;</w:t>
            </w:r>
          </w:p>
          <w:p w14:paraId="6A34B962" w14:textId="77777777" w:rsidR="002B6054" w:rsidRDefault="002B6054" w:rsidP="002960C5">
            <w:pPr>
              <w:pStyle w:val="a4"/>
              <w:numPr>
                <w:ilvl w:val="0"/>
                <w:numId w:val="2"/>
              </w:num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бак запасу води </w:t>
            </w:r>
            <w:proofErr w:type="spellStart"/>
            <w:r>
              <w:rPr>
                <w:rFonts w:ascii="Times New Roman" w:hAnsi="Times New Roman" w:cs="Times New Roman"/>
                <w:sz w:val="20"/>
                <w:szCs w:val="20"/>
                <w:lang w:val="en-US" w:eastAsia="en-US"/>
              </w:rPr>
              <w:t>Elbi</w:t>
            </w:r>
            <w:proofErr w:type="spellEnd"/>
            <w:r>
              <w:rPr>
                <w:rFonts w:ascii="Times New Roman" w:hAnsi="Times New Roman" w:cs="Times New Roman"/>
                <w:sz w:val="20"/>
                <w:szCs w:val="20"/>
                <w:lang w:val="ru-RU" w:eastAsia="en-US"/>
              </w:rPr>
              <w:t xml:space="preserve"> </w:t>
            </w:r>
            <w:r>
              <w:rPr>
                <w:rFonts w:ascii="Times New Roman" w:hAnsi="Times New Roman" w:cs="Times New Roman"/>
                <w:sz w:val="20"/>
                <w:szCs w:val="20"/>
                <w:lang w:val="en-US" w:eastAsia="en-US"/>
              </w:rPr>
              <w:t>CV</w:t>
            </w:r>
            <w:r>
              <w:rPr>
                <w:rFonts w:ascii="Times New Roman" w:hAnsi="Times New Roman" w:cs="Times New Roman"/>
                <w:sz w:val="20"/>
                <w:szCs w:val="20"/>
                <w:lang w:val="ru-RU" w:eastAsia="en-US"/>
              </w:rPr>
              <w:t xml:space="preserve"> 1000 </w:t>
            </w:r>
            <w:r>
              <w:rPr>
                <w:rFonts w:ascii="Times New Roman" w:hAnsi="Times New Roman" w:cs="Times New Roman"/>
                <w:sz w:val="20"/>
                <w:szCs w:val="20"/>
                <w:lang w:val="en-US" w:eastAsia="en-US"/>
              </w:rPr>
              <w:t>V</w:t>
            </w:r>
            <w:r>
              <w:rPr>
                <w:rFonts w:ascii="Times New Roman" w:hAnsi="Times New Roman" w:cs="Times New Roman"/>
                <w:sz w:val="20"/>
                <w:szCs w:val="20"/>
                <w:lang w:val="ru-RU" w:eastAsia="en-US"/>
              </w:rPr>
              <w:t>=1000</w:t>
            </w:r>
            <w:r>
              <w:rPr>
                <w:rFonts w:ascii="Times New Roman" w:hAnsi="Times New Roman" w:cs="Times New Roman"/>
                <w:sz w:val="20"/>
                <w:szCs w:val="20"/>
                <w:lang w:eastAsia="en-US"/>
              </w:rPr>
              <w:t xml:space="preserve">л. </w:t>
            </w:r>
            <w:r>
              <w:rPr>
                <w:rFonts w:ascii="Times New Roman" w:hAnsi="Times New Roman" w:cs="Times New Roman"/>
                <w:sz w:val="20"/>
                <w:szCs w:val="20"/>
                <w:highlight w:val="cyan"/>
                <w:lang w:eastAsia="en-US"/>
              </w:rPr>
              <w:t>або їх аналоги.</w:t>
            </w:r>
          </w:p>
          <w:p w14:paraId="03B8C749" w14:textId="77777777" w:rsidR="002B6054" w:rsidRDefault="002B6054">
            <w:pPr>
              <w:tabs>
                <w:tab w:val="left" w:pos="993"/>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ab/>
              <w:t xml:space="preserve">Водогрійні котли КВТ-1500М </w:t>
            </w:r>
            <w:r>
              <w:rPr>
                <w:rFonts w:ascii="Times New Roman" w:hAnsi="Times New Roman" w:cs="Times New Roman"/>
                <w:sz w:val="20"/>
                <w:szCs w:val="20"/>
                <w:highlight w:val="cyan"/>
                <w:lang w:eastAsia="en-US"/>
              </w:rPr>
              <w:t>або їх аналоги</w:t>
            </w:r>
            <w:r>
              <w:rPr>
                <w:rFonts w:ascii="Times New Roman" w:hAnsi="Times New Roman" w:cs="Times New Roman"/>
                <w:sz w:val="20"/>
                <w:szCs w:val="20"/>
                <w:lang w:eastAsia="en-US"/>
              </w:rPr>
              <w:t xml:space="preserve"> обладнуються технологічними трубопроводами ( подавальним, зворотним, дренажним), </w:t>
            </w:r>
            <w:proofErr w:type="spellStart"/>
            <w:r>
              <w:rPr>
                <w:rFonts w:ascii="Times New Roman" w:hAnsi="Times New Roman" w:cs="Times New Roman"/>
                <w:sz w:val="20"/>
                <w:szCs w:val="20"/>
                <w:lang w:eastAsia="en-US"/>
              </w:rPr>
              <w:t>запірно</w:t>
            </w:r>
            <w:proofErr w:type="spellEnd"/>
            <w:r>
              <w:rPr>
                <w:rFonts w:ascii="Times New Roman" w:hAnsi="Times New Roman" w:cs="Times New Roman"/>
                <w:sz w:val="20"/>
                <w:szCs w:val="20"/>
                <w:lang w:eastAsia="en-US"/>
              </w:rPr>
              <w:t>-регулюючою арматурою, системою автоматики регулювання, контролю та безпеки. Кожен котел обладнаний двома запобіжними пристроями та приладами КВП.</w:t>
            </w:r>
          </w:p>
          <w:p w14:paraId="62C1F776" w14:textId="77777777" w:rsidR="002B6054" w:rsidRDefault="002B6054">
            <w:pPr>
              <w:pStyle w:val="a4"/>
              <w:widowControl w:val="0"/>
              <w:spacing w:line="240" w:lineRule="auto"/>
              <w:ind w:left="0" w:firstLine="709"/>
              <w:jc w:val="both"/>
              <w:rPr>
                <w:rFonts w:ascii="Times New Roman" w:hAnsi="Times New Roman" w:cs="Times New Roman"/>
                <w:sz w:val="20"/>
                <w:szCs w:val="20"/>
                <w:lang w:eastAsia="en-US"/>
              </w:rPr>
            </w:pPr>
          </w:p>
        </w:tc>
      </w:tr>
      <w:tr w:rsidR="002B6054" w14:paraId="2B8A857F" w14:textId="77777777" w:rsidTr="002B6054">
        <w:tc>
          <w:tcPr>
            <w:tcW w:w="9917" w:type="dxa"/>
            <w:gridSpan w:val="2"/>
            <w:tcBorders>
              <w:top w:val="single" w:sz="4" w:space="0" w:color="auto"/>
              <w:left w:val="single" w:sz="4" w:space="0" w:color="auto"/>
              <w:bottom w:val="single" w:sz="4" w:space="0" w:color="auto"/>
              <w:right w:val="single" w:sz="4" w:space="0" w:color="auto"/>
            </w:tcBorders>
            <w:hideMark/>
          </w:tcPr>
          <w:p w14:paraId="05E133BD" w14:textId="77777777" w:rsidR="002B6054" w:rsidRDefault="002B6054">
            <w:pPr>
              <w:pStyle w:val="a4"/>
              <w:widowControl w:val="0"/>
              <w:spacing w:line="240" w:lineRule="auto"/>
              <w:ind w:left="0" w:firstLine="709"/>
              <w:jc w:val="both"/>
              <w:rPr>
                <w:rFonts w:ascii="Times New Roman" w:hAnsi="Times New Roman" w:cs="Times New Roman"/>
                <w:b/>
                <w:bCs/>
                <w:sz w:val="20"/>
                <w:szCs w:val="20"/>
                <w:lang w:eastAsia="en-US"/>
              </w:rPr>
            </w:pPr>
            <w:r>
              <w:rPr>
                <w:rFonts w:ascii="Times New Roman" w:hAnsi="Times New Roman" w:cs="Times New Roman"/>
                <w:b/>
                <w:bCs/>
                <w:sz w:val="20"/>
                <w:szCs w:val="20"/>
                <w:lang w:eastAsia="en-US"/>
              </w:rPr>
              <w:lastRenderedPageBreak/>
              <w:t>Додаток 3 до тендерної документації Проект договору, пункт 14.6 викласти в новій редакції</w:t>
            </w:r>
          </w:p>
        </w:tc>
      </w:tr>
      <w:tr w:rsidR="002B6054" w14:paraId="5DE489B0" w14:textId="77777777" w:rsidTr="002B6054">
        <w:tc>
          <w:tcPr>
            <w:tcW w:w="5103" w:type="dxa"/>
            <w:tcBorders>
              <w:top w:val="single" w:sz="4" w:space="0" w:color="auto"/>
              <w:left w:val="single" w:sz="4" w:space="0" w:color="auto"/>
              <w:bottom w:val="single" w:sz="4" w:space="0" w:color="auto"/>
              <w:right w:val="single" w:sz="4" w:space="0" w:color="auto"/>
            </w:tcBorders>
          </w:tcPr>
          <w:p w14:paraId="7C301693" w14:textId="77777777" w:rsidR="002B6054" w:rsidRDefault="002B6054" w:rsidP="002960C5">
            <w:pPr>
              <w:pStyle w:val="a4"/>
              <w:widowControl w:val="0"/>
              <w:numPr>
                <w:ilvl w:val="1"/>
                <w:numId w:val="3"/>
              </w:numPr>
              <w:tabs>
                <w:tab w:val="left" w:pos="849"/>
              </w:tabs>
              <w:autoSpaceDE w:val="0"/>
              <w:autoSpaceDN w:val="0"/>
              <w:spacing w:line="240" w:lineRule="auto"/>
              <w:ind w:right="163"/>
              <w:jc w:val="both"/>
              <w:rPr>
                <w:rFonts w:ascii="Times New Roman" w:hAnsi="Times New Roman" w:cs="Times New Roman"/>
                <w:sz w:val="20"/>
                <w:szCs w:val="20"/>
                <w:lang w:eastAsia="en-US"/>
              </w:rPr>
            </w:pPr>
            <w:r>
              <w:rPr>
                <w:rFonts w:ascii="Times New Roman" w:hAnsi="Times New Roman" w:cs="Times New Roman"/>
                <w:sz w:val="20"/>
                <w:szCs w:val="20"/>
                <w:lang w:eastAsia="en-US"/>
              </w:rPr>
              <w:t>Істотні</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умови</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цього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Договору</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не</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можуть</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змінюватися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після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його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підписання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до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виконання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зобов’язань</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Сторонами</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в</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повному</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обсязі,</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крім</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випадків,</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передбачених</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Законом</w:t>
            </w:r>
            <w:r>
              <w:rPr>
                <w:rFonts w:ascii="Times New Roman" w:hAnsi="Times New Roman" w:cs="Times New Roman"/>
                <w:spacing w:val="-2"/>
                <w:sz w:val="20"/>
                <w:szCs w:val="20"/>
                <w:lang w:eastAsia="en-US"/>
              </w:rPr>
              <w:t xml:space="preserve"> </w:t>
            </w:r>
            <w:r>
              <w:rPr>
                <w:rFonts w:ascii="Times New Roman" w:hAnsi="Times New Roman" w:cs="Times New Roman"/>
                <w:sz w:val="20"/>
                <w:szCs w:val="20"/>
                <w:lang w:eastAsia="en-US"/>
              </w:rPr>
              <w:t>України</w:t>
            </w:r>
            <w:r>
              <w:rPr>
                <w:rFonts w:ascii="Times New Roman" w:hAnsi="Times New Roman" w:cs="Times New Roman"/>
                <w:spacing w:val="-2"/>
                <w:sz w:val="20"/>
                <w:szCs w:val="20"/>
                <w:lang w:eastAsia="en-US"/>
              </w:rPr>
              <w:t xml:space="preserve"> </w:t>
            </w:r>
            <w:r>
              <w:rPr>
                <w:rFonts w:ascii="Times New Roman" w:hAnsi="Times New Roman" w:cs="Times New Roman"/>
                <w:sz w:val="20"/>
                <w:szCs w:val="20"/>
                <w:lang w:eastAsia="en-US"/>
              </w:rPr>
              <w:t>"Про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публічні</w:t>
            </w:r>
            <w:r>
              <w:rPr>
                <w:rFonts w:ascii="Times New Roman" w:hAnsi="Times New Roman" w:cs="Times New Roman"/>
                <w:spacing w:val="-2"/>
                <w:sz w:val="20"/>
                <w:szCs w:val="20"/>
                <w:lang w:eastAsia="en-US"/>
              </w:rPr>
              <w:t xml:space="preserve"> </w:t>
            </w:r>
            <w:r>
              <w:rPr>
                <w:rFonts w:ascii="Times New Roman" w:hAnsi="Times New Roman" w:cs="Times New Roman"/>
                <w:sz w:val="20"/>
                <w:szCs w:val="20"/>
                <w:lang w:eastAsia="en-US"/>
              </w:rPr>
              <w:t>закупівлі":</w:t>
            </w:r>
          </w:p>
          <w:p w14:paraId="5BDF0381" w14:textId="77777777" w:rsidR="002B6054" w:rsidRDefault="002B6054">
            <w:pPr>
              <w:pStyle w:val="rvps2"/>
              <w:shd w:val="clear" w:color="auto" w:fill="FFFFFF"/>
              <w:spacing w:before="0" w:beforeAutospacing="0" w:after="0" w:afterAutospacing="0"/>
              <w:ind w:left="851"/>
              <w:jc w:val="both"/>
              <w:rPr>
                <w:color w:val="333333"/>
                <w:sz w:val="20"/>
                <w:szCs w:val="20"/>
              </w:rPr>
            </w:pPr>
            <w:r>
              <w:rPr>
                <w:color w:val="333333"/>
                <w:sz w:val="20"/>
                <w:szCs w:val="20"/>
              </w:rPr>
              <w:t>1) зменшення обсягів закупівлі, зокрема з урахуванням фактичного обсягу видатків замовника;</w:t>
            </w:r>
          </w:p>
          <w:p w14:paraId="159660AE" w14:textId="77777777" w:rsidR="002B6054" w:rsidRDefault="002B6054">
            <w:pPr>
              <w:pStyle w:val="rvps2"/>
              <w:shd w:val="clear" w:color="auto" w:fill="FFFFFF"/>
              <w:spacing w:before="0" w:beforeAutospacing="0" w:after="0" w:afterAutospacing="0"/>
              <w:ind w:left="851"/>
              <w:jc w:val="both"/>
              <w:rPr>
                <w:color w:val="333333"/>
                <w:sz w:val="20"/>
                <w:szCs w:val="20"/>
              </w:rPr>
            </w:pPr>
            <w:bookmarkStart w:id="1" w:name="n1770"/>
            <w:bookmarkEnd w:id="1"/>
            <w:r>
              <w:rPr>
                <w:color w:val="333333"/>
                <w:sz w:val="20"/>
                <w:szCs w:val="20"/>
              </w:rPr>
              <w:t xml:space="preserve">2) збільшення ціни за одиницю товару до 10 відсотків </w:t>
            </w:r>
            <w:proofErr w:type="spellStart"/>
            <w:r>
              <w:rPr>
                <w:color w:val="333333"/>
                <w:sz w:val="20"/>
                <w:szCs w:val="20"/>
              </w:rPr>
              <w:t>пропорційно</w:t>
            </w:r>
            <w:proofErr w:type="spellEnd"/>
            <w:r>
              <w:rPr>
                <w:color w:val="333333"/>
                <w:sz w:val="20"/>
                <w:szCs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4507AD81" w14:textId="77777777" w:rsidR="002B6054" w:rsidRDefault="002B6054">
            <w:pPr>
              <w:pStyle w:val="rvps2"/>
              <w:shd w:val="clear" w:color="auto" w:fill="FFFFFF"/>
              <w:spacing w:before="0" w:beforeAutospacing="0" w:after="0" w:afterAutospacing="0"/>
              <w:ind w:left="851"/>
              <w:jc w:val="both"/>
              <w:rPr>
                <w:color w:val="333333"/>
                <w:sz w:val="20"/>
                <w:szCs w:val="20"/>
              </w:rPr>
            </w:pPr>
            <w:bookmarkStart w:id="2" w:name="n1771"/>
            <w:bookmarkStart w:id="3" w:name="n2101"/>
            <w:bookmarkEnd w:id="2"/>
            <w:bookmarkEnd w:id="3"/>
            <w:r>
              <w:rPr>
                <w:color w:val="333333"/>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529813D7" w14:textId="77777777" w:rsidR="002B6054" w:rsidRDefault="002B6054">
            <w:pPr>
              <w:pStyle w:val="rvps2"/>
              <w:shd w:val="clear" w:color="auto" w:fill="FFFFFF"/>
              <w:spacing w:before="0" w:beforeAutospacing="0" w:after="0" w:afterAutospacing="0"/>
              <w:ind w:left="851"/>
              <w:jc w:val="both"/>
              <w:rPr>
                <w:color w:val="333333"/>
                <w:sz w:val="20"/>
                <w:szCs w:val="20"/>
              </w:rPr>
            </w:pPr>
            <w:bookmarkStart w:id="4" w:name="n1772"/>
            <w:bookmarkEnd w:id="4"/>
            <w:r>
              <w:rPr>
                <w:color w:val="333333"/>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3E011D" w14:textId="77777777" w:rsidR="002B6054" w:rsidRDefault="002B6054">
            <w:pPr>
              <w:pStyle w:val="rvps2"/>
              <w:shd w:val="clear" w:color="auto" w:fill="FFFFFF"/>
              <w:spacing w:before="0" w:beforeAutospacing="0" w:after="0" w:afterAutospacing="0"/>
              <w:ind w:left="851"/>
              <w:jc w:val="both"/>
              <w:rPr>
                <w:color w:val="333333"/>
                <w:sz w:val="20"/>
                <w:szCs w:val="20"/>
              </w:rPr>
            </w:pPr>
            <w:bookmarkStart w:id="5" w:name="n1773"/>
            <w:bookmarkEnd w:id="5"/>
            <w:r>
              <w:rPr>
                <w:color w:val="333333"/>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8BD7F7C" w14:textId="77777777" w:rsidR="002B6054" w:rsidRDefault="002B6054">
            <w:pPr>
              <w:pStyle w:val="rvps2"/>
              <w:shd w:val="clear" w:color="auto" w:fill="FFFFFF"/>
              <w:spacing w:before="0" w:beforeAutospacing="0" w:after="0" w:afterAutospacing="0"/>
              <w:ind w:left="851"/>
              <w:jc w:val="both"/>
              <w:rPr>
                <w:color w:val="333333"/>
                <w:sz w:val="20"/>
                <w:szCs w:val="20"/>
              </w:rPr>
            </w:pPr>
            <w:bookmarkStart w:id="6" w:name="n1774"/>
            <w:bookmarkEnd w:id="6"/>
            <w:r>
              <w:rPr>
                <w:color w:val="333333"/>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333333"/>
                <w:sz w:val="20"/>
                <w:szCs w:val="20"/>
              </w:rPr>
              <w:t>пропорційно</w:t>
            </w:r>
            <w:proofErr w:type="spellEnd"/>
            <w:r>
              <w:rPr>
                <w:color w:val="333333"/>
                <w:sz w:val="20"/>
                <w:szCs w:val="20"/>
              </w:rPr>
              <w:t xml:space="preserve"> до зміни таких ставок та/або пільг з оподаткування;</w:t>
            </w:r>
          </w:p>
          <w:p w14:paraId="18D0C2F7" w14:textId="77777777" w:rsidR="002B6054" w:rsidRDefault="002B6054">
            <w:pPr>
              <w:pStyle w:val="rvps2"/>
              <w:shd w:val="clear" w:color="auto" w:fill="FFFFFF"/>
              <w:spacing w:before="0" w:beforeAutospacing="0" w:after="0" w:afterAutospacing="0"/>
              <w:ind w:left="851"/>
              <w:jc w:val="both"/>
              <w:rPr>
                <w:color w:val="333333"/>
                <w:sz w:val="20"/>
                <w:szCs w:val="20"/>
              </w:rPr>
            </w:pPr>
            <w:bookmarkStart w:id="7" w:name="n1775"/>
            <w:bookmarkEnd w:id="7"/>
            <w:r>
              <w:rPr>
                <w:color w:val="333333"/>
                <w:sz w:val="20"/>
                <w:szCs w:val="2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sz w:val="20"/>
                <w:szCs w:val="20"/>
              </w:rPr>
              <w:t>Platts</w:t>
            </w:r>
            <w:proofErr w:type="spellEnd"/>
            <w:r>
              <w:rPr>
                <w:color w:val="333333"/>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BD44E95" w14:textId="77777777" w:rsidR="002B6054" w:rsidRDefault="002B6054">
            <w:pPr>
              <w:pStyle w:val="rvps2"/>
              <w:shd w:val="clear" w:color="auto" w:fill="FFFFFF"/>
              <w:spacing w:before="0" w:beforeAutospacing="0" w:after="0" w:afterAutospacing="0"/>
              <w:ind w:left="851"/>
              <w:jc w:val="both"/>
              <w:rPr>
                <w:color w:val="333333"/>
                <w:sz w:val="20"/>
                <w:szCs w:val="20"/>
              </w:rPr>
            </w:pPr>
            <w:bookmarkStart w:id="8" w:name="n1776"/>
            <w:bookmarkEnd w:id="8"/>
            <w:r>
              <w:rPr>
                <w:color w:val="333333"/>
                <w:sz w:val="20"/>
                <w:szCs w:val="20"/>
              </w:rPr>
              <w:t xml:space="preserve">8) зміни умов у зв’язку із застосуванням положень частини шостої  статті 41 Закону України «Про публічні закупівлі» </w:t>
            </w:r>
          </w:p>
          <w:p w14:paraId="3AD75D3B" w14:textId="77777777" w:rsidR="002B6054" w:rsidRDefault="002B6054">
            <w:pPr>
              <w:pStyle w:val="a4"/>
              <w:widowControl w:val="0"/>
              <w:spacing w:line="240" w:lineRule="auto"/>
              <w:ind w:left="0" w:firstLine="709"/>
              <w:jc w:val="both"/>
              <w:rPr>
                <w:rFonts w:ascii="Times New Roman" w:hAnsi="Times New Roman" w:cs="Times New Roman"/>
                <w:sz w:val="20"/>
                <w:szCs w:val="20"/>
                <w:lang w:eastAsia="en-US"/>
              </w:rPr>
            </w:pPr>
          </w:p>
        </w:tc>
        <w:tc>
          <w:tcPr>
            <w:tcW w:w="4814" w:type="dxa"/>
            <w:tcBorders>
              <w:top w:val="single" w:sz="4" w:space="0" w:color="auto"/>
              <w:left w:val="single" w:sz="4" w:space="0" w:color="auto"/>
              <w:bottom w:val="single" w:sz="4" w:space="0" w:color="auto"/>
              <w:right w:val="single" w:sz="4" w:space="0" w:color="auto"/>
            </w:tcBorders>
          </w:tcPr>
          <w:p w14:paraId="732075A0" w14:textId="77777777" w:rsidR="002B6054" w:rsidRDefault="002B6054" w:rsidP="002960C5">
            <w:pPr>
              <w:pStyle w:val="a4"/>
              <w:widowControl w:val="0"/>
              <w:numPr>
                <w:ilvl w:val="1"/>
                <w:numId w:val="4"/>
              </w:numPr>
              <w:tabs>
                <w:tab w:val="left" w:pos="849"/>
              </w:tabs>
              <w:autoSpaceDE w:val="0"/>
              <w:autoSpaceDN w:val="0"/>
              <w:spacing w:line="240" w:lineRule="auto"/>
              <w:ind w:right="163"/>
              <w:jc w:val="both"/>
              <w:rPr>
                <w:rFonts w:ascii="Times New Roman" w:hAnsi="Times New Roman" w:cs="Times New Roman"/>
                <w:sz w:val="20"/>
                <w:szCs w:val="20"/>
                <w:highlight w:val="cyan"/>
                <w:lang w:eastAsia="en-US"/>
              </w:rPr>
            </w:pPr>
            <w:r>
              <w:rPr>
                <w:rFonts w:ascii="Times New Roman" w:hAnsi="Times New Roman" w:cs="Times New Roman"/>
                <w:sz w:val="20"/>
                <w:szCs w:val="20"/>
                <w:lang w:eastAsia="en-US"/>
              </w:rPr>
              <w:lastRenderedPageBreak/>
              <w:t>Істотні</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умови</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цього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Договору</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не</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можуть</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змінюватися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після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його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підписання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до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виконання</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зобов’язань</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Сторонами</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в</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повному</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обсязі,</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крім</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випадків,</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передбачених</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Законом</w:t>
            </w:r>
            <w:r>
              <w:rPr>
                <w:rFonts w:ascii="Times New Roman" w:hAnsi="Times New Roman" w:cs="Times New Roman"/>
                <w:spacing w:val="-2"/>
                <w:sz w:val="20"/>
                <w:szCs w:val="20"/>
                <w:lang w:eastAsia="en-US"/>
              </w:rPr>
              <w:t xml:space="preserve"> </w:t>
            </w:r>
            <w:r>
              <w:rPr>
                <w:rFonts w:ascii="Times New Roman" w:hAnsi="Times New Roman" w:cs="Times New Roman"/>
                <w:sz w:val="20"/>
                <w:szCs w:val="20"/>
                <w:lang w:eastAsia="en-US"/>
              </w:rPr>
              <w:t>України</w:t>
            </w:r>
            <w:r>
              <w:rPr>
                <w:rFonts w:ascii="Times New Roman" w:hAnsi="Times New Roman" w:cs="Times New Roman"/>
                <w:spacing w:val="-2"/>
                <w:sz w:val="20"/>
                <w:szCs w:val="20"/>
                <w:lang w:eastAsia="en-US"/>
              </w:rPr>
              <w:t xml:space="preserve"> </w:t>
            </w:r>
            <w:r>
              <w:rPr>
                <w:rFonts w:ascii="Times New Roman" w:hAnsi="Times New Roman" w:cs="Times New Roman"/>
                <w:sz w:val="20"/>
                <w:szCs w:val="20"/>
                <w:lang w:eastAsia="en-US"/>
              </w:rPr>
              <w:t>"Про</w:t>
            </w:r>
            <w:r>
              <w:rPr>
                <w:rFonts w:ascii="Times New Roman" w:hAnsi="Times New Roman" w:cs="Times New Roman"/>
                <w:spacing w:val="-1"/>
                <w:sz w:val="20"/>
                <w:szCs w:val="20"/>
                <w:lang w:eastAsia="en-US"/>
              </w:rPr>
              <w:t xml:space="preserve"> </w:t>
            </w:r>
            <w:r>
              <w:rPr>
                <w:rFonts w:ascii="Times New Roman" w:hAnsi="Times New Roman" w:cs="Times New Roman"/>
                <w:sz w:val="20"/>
                <w:szCs w:val="20"/>
                <w:lang w:eastAsia="en-US"/>
              </w:rPr>
              <w:t>публічні</w:t>
            </w:r>
            <w:r>
              <w:rPr>
                <w:rFonts w:ascii="Times New Roman" w:hAnsi="Times New Roman" w:cs="Times New Roman"/>
                <w:spacing w:val="-2"/>
                <w:sz w:val="20"/>
                <w:szCs w:val="20"/>
                <w:lang w:eastAsia="en-US"/>
              </w:rPr>
              <w:t xml:space="preserve"> </w:t>
            </w:r>
            <w:r>
              <w:rPr>
                <w:rFonts w:ascii="Times New Roman" w:hAnsi="Times New Roman" w:cs="Times New Roman"/>
                <w:sz w:val="20"/>
                <w:szCs w:val="20"/>
                <w:lang w:eastAsia="en-US"/>
              </w:rPr>
              <w:t xml:space="preserve">закупівлі" та </w:t>
            </w:r>
            <w:r>
              <w:rPr>
                <w:rFonts w:ascii="Times New Roman" w:hAnsi="Times New Roman" w:cs="Times New Roman"/>
                <w:sz w:val="20"/>
                <w:szCs w:val="20"/>
                <w:highlight w:val="cyan"/>
                <w:lang w:eastAsia="en-US"/>
              </w:rPr>
              <w:t xml:space="preserve">пункту 19 Особливостей здійснення публічних </w:t>
            </w:r>
            <w:proofErr w:type="spellStart"/>
            <w:r>
              <w:rPr>
                <w:rFonts w:ascii="Times New Roman" w:hAnsi="Times New Roman" w:cs="Times New Roman"/>
                <w:sz w:val="20"/>
                <w:szCs w:val="20"/>
                <w:highlight w:val="cyan"/>
                <w:lang w:eastAsia="en-US"/>
              </w:rPr>
              <w:t>закупівель</w:t>
            </w:r>
            <w:proofErr w:type="spellEnd"/>
            <w:r>
              <w:rPr>
                <w:rFonts w:ascii="Times New Roman" w:hAnsi="Times New Roman" w:cs="Times New Roman"/>
                <w:sz w:val="20"/>
                <w:szCs w:val="20"/>
                <w:highlight w:val="cy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w:t>
            </w:r>
          </w:p>
          <w:p w14:paraId="3F4D691F"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1) зменшення обсягів закупівлі, зокрема з урахуванням фактичного обсягу видатків замовника;</w:t>
            </w:r>
          </w:p>
          <w:p w14:paraId="17C6969E"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sz w:val="20"/>
                <w:szCs w:val="20"/>
                <w:highlight w:val="cyan"/>
              </w:rPr>
              <w:t>пропорційно</w:t>
            </w:r>
            <w:proofErr w:type="spellEnd"/>
            <w:r>
              <w:rPr>
                <w:color w:val="333333"/>
                <w:sz w:val="20"/>
                <w:szCs w:val="20"/>
                <w:highlight w:val="cy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8CE266"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3) покращення якості предмета закупівлі за умови, що таке покращення не призведе до збільшення суми, визначеної в договорі про закупівлю;</w:t>
            </w:r>
          </w:p>
          <w:p w14:paraId="0FD622F9"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 xml:space="preserve">4) продовження строку дії договору про закупівлю та/або строку виконання зобов’язань щодо передачі товару, </w:t>
            </w:r>
            <w:r>
              <w:rPr>
                <w:color w:val="333333"/>
                <w:sz w:val="20"/>
                <w:szCs w:val="20"/>
                <w:highlight w:val="cyan"/>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085B9D"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5) погодження зміни ціни в договорі про закупівлю в бік зменшення (без зміни кількості (обсягу) та якості товарів, робіт і послуг);</w:t>
            </w:r>
          </w:p>
          <w:p w14:paraId="4CAF4F81"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sz w:val="20"/>
                <w:szCs w:val="20"/>
                <w:highlight w:val="cyan"/>
              </w:rPr>
              <w:t>пропорційно</w:t>
            </w:r>
            <w:proofErr w:type="spellEnd"/>
            <w:r>
              <w:rPr>
                <w:color w:val="333333"/>
                <w:sz w:val="20"/>
                <w:szCs w:val="20"/>
                <w:highlight w:val="cyan"/>
              </w:rPr>
              <w:t xml:space="preserve"> до зміни таких ставок та/або пільг з оподаткування, а також у зв’язку із зміною системи оподаткування </w:t>
            </w:r>
            <w:proofErr w:type="spellStart"/>
            <w:r>
              <w:rPr>
                <w:color w:val="333333"/>
                <w:sz w:val="20"/>
                <w:szCs w:val="20"/>
                <w:highlight w:val="cyan"/>
              </w:rPr>
              <w:t>пропорційно</w:t>
            </w:r>
            <w:proofErr w:type="spellEnd"/>
            <w:r>
              <w:rPr>
                <w:color w:val="333333"/>
                <w:sz w:val="20"/>
                <w:szCs w:val="20"/>
                <w:highlight w:val="cyan"/>
              </w:rPr>
              <w:t xml:space="preserve"> до зміни податкового навантаження внаслідок зміни системи оподаткування;</w:t>
            </w:r>
          </w:p>
          <w:p w14:paraId="7C89EDEA"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sz w:val="20"/>
                <w:szCs w:val="20"/>
                <w:highlight w:val="cyan"/>
              </w:rPr>
              <w:t>Platts</w:t>
            </w:r>
            <w:proofErr w:type="spellEnd"/>
            <w:r>
              <w:rPr>
                <w:color w:val="333333"/>
                <w:sz w:val="20"/>
                <w:szCs w:val="20"/>
                <w:highlight w:val="cy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7912FB" w14:textId="77777777" w:rsidR="002B6054" w:rsidRDefault="002B6054">
            <w:pPr>
              <w:pStyle w:val="rvps2"/>
              <w:shd w:val="clear" w:color="auto" w:fill="FFFFFF"/>
              <w:spacing w:before="0" w:beforeAutospacing="0" w:after="0" w:afterAutospacing="0"/>
              <w:ind w:left="851"/>
              <w:jc w:val="both"/>
              <w:rPr>
                <w:color w:val="333333"/>
                <w:sz w:val="20"/>
                <w:szCs w:val="20"/>
                <w:highlight w:val="cyan"/>
              </w:rPr>
            </w:pPr>
            <w:r>
              <w:rPr>
                <w:color w:val="333333"/>
                <w:sz w:val="20"/>
                <w:szCs w:val="20"/>
                <w:highlight w:val="cyan"/>
              </w:rPr>
              <w:t>8) зміни умов у зв’язку із застосуванням положень частини шостої статті 41 Закону;</w:t>
            </w:r>
          </w:p>
          <w:p w14:paraId="09DA1375" w14:textId="77777777" w:rsidR="002B6054" w:rsidRDefault="002B6054">
            <w:pPr>
              <w:pStyle w:val="rvps2"/>
              <w:shd w:val="clear" w:color="auto" w:fill="FFFFFF"/>
              <w:spacing w:before="0" w:beforeAutospacing="0" w:after="0" w:afterAutospacing="0"/>
              <w:ind w:left="851"/>
              <w:jc w:val="both"/>
              <w:rPr>
                <w:color w:val="333333"/>
                <w:sz w:val="20"/>
                <w:szCs w:val="20"/>
              </w:rPr>
            </w:pPr>
            <w:r>
              <w:rPr>
                <w:color w:val="333333"/>
                <w:sz w:val="20"/>
                <w:szCs w:val="20"/>
                <w:highlight w:val="cy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29350A" w14:textId="77777777" w:rsidR="002B6054" w:rsidRDefault="002B6054">
            <w:pPr>
              <w:pStyle w:val="a4"/>
              <w:widowControl w:val="0"/>
              <w:tabs>
                <w:tab w:val="left" w:pos="948"/>
              </w:tabs>
              <w:spacing w:line="240" w:lineRule="auto"/>
              <w:ind w:left="0" w:firstLine="30"/>
              <w:jc w:val="both"/>
              <w:rPr>
                <w:rFonts w:ascii="Times New Roman" w:hAnsi="Times New Roman" w:cs="Times New Roman"/>
                <w:sz w:val="20"/>
                <w:szCs w:val="20"/>
                <w:lang w:eastAsia="en-US"/>
              </w:rPr>
            </w:pPr>
          </w:p>
        </w:tc>
      </w:tr>
    </w:tbl>
    <w:p w14:paraId="2383029A" w14:textId="77777777" w:rsidR="002B6054" w:rsidRDefault="002B6054" w:rsidP="002B6054">
      <w:pPr>
        <w:tabs>
          <w:tab w:val="left" w:pos="567"/>
        </w:tabs>
        <w:spacing w:after="0"/>
        <w:rPr>
          <w:b/>
          <w:bCs/>
          <w:i/>
          <w:iCs/>
          <w:sz w:val="24"/>
          <w:szCs w:val="24"/>
        </w:rPr>
      </w:pPr>
    </w:p>
    <w:p w14:paraId="7407835E" w14:textId="77777777" w:rsidR="002B6054" w:rsidRDefault="002B6054" w:rsidP="002B6054">
      <w:pPr>
        <w:spacing w:after="0"/>
        <w:ind w:firstLine="709"/>
        <w:jc w:val="both"/>
      </w:pPr>
    </w:p>
    <w:p w14:paraId="77392C43" w14:textId="77777777" w:rsidR="00F12C76" w:rsidRDefault="00F12C76" w:rsidP="006C0B77">
      <w:pPr>
        <w:spacing w:after="0"/>
        <w:ind w:firstLine="709"/>
        <w:jc w:val="both"/>
      </w:pPr>
    </w:p>
    <w:sectPr w:rsidR="00F12C76" w:rsidSect="00051C1A">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086C"/>
    <w:multiLevelType w:val="hybridMultilevel"/>
    <w:tmpl w:val="8A263DDA"/>
    <w:lvl w:ilvl="0" w:tplc="E41CC8CA">
      <w:start w:val="6"/>
      <w:numFmt w:val="bullet"/>
      <w:lvlText w:val="-"/>
      <w:lvlJc w:val="left"/>
      <w:pPr>
        <w:ind w:left="394" w:hanging="360"/>
      </w:pPr>
      <w:rPr>
        <w:rFonts w:ascii="Times New Roman" w:eastAsia="Times New Roman" w:hAnsi="Times New Roman" w:cs="Times New Roman"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1" w15:restartNumberingAfterBreak="0">
    <w:nsid w:val="32CC0161"/>
    <w:multiLevelType w:val="multilevel"/>
    <w:tmpl w:val="4C30488C"/>
    <w:lvl w:ilvl="0">
      <w:start w:val="14"/>
      <w:numFmt w:val="decimal"/>
      <w:lvlText w:val="%1"/>
      <w:lvlJc w:val="left"/>
      <w:pPr>
        <w:ind w:left="384" w:hanging="384"/>
      </w:pPr>
    </w:lvl>
    <w:lvl w:ilvl="1">
      <w:start w:val="6"/>
      <w:numFmt w:val="decimal"/>
      <w:lvlText w:val="%1.%2"/>
      <w:lvlJc w:val="left"/>
      <w:pPr>
        <w:ind w:left="665" w:hanging="384"/>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3688" w:hanging="1440"/>
      </w:pPr>
    </w:lvl>
  </w:abstractNum>
  <w:abstractNum w:abstractNumId="2" w15:restartNumberingAfterBreak="0">
    <w:nsid w:val="3DE82DBA"/>
    <w:multiLevelType w:val="hybridMultilevel"/>
    <w:tmpl w:val="FFFFFFFF"/>
    <w:lvl w:ilvl="0" w:tplc="39B2C83A">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Times New Roman"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Times New Roman"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755F0B0C"/>
    <w:multiLevelType w:val="multilevel"/>
    <w:tmpl w:val="E668BB9E"/>
    <w:lvl w:ilvl="0">
      <w:start w:val="14"/>
      <w:numFmt w:val="decimal"/>
      <w:lvlText w:val="%1"/>
      <w:lvlJc w:val="left"/>
      <w:pPr>
        <w:ind w:left="384" w:hanging="384"/>
      </w:pPr>
    </w:lvl>
    <w:lvl w:ilvl="1">
      <w:start w:val="6"/>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471289282">
    <w:abstractNumId w:val="0"/>
    <w:lvlOverride w:ilvl="0"/>
    <w:lvlOverride w:ilvl="1"/>
    <w:lvlOverride w:ilvl="2"/>
    <w:lvlOverride w:ilvl="3"/>
    <w:lvlOverride w:ilvl="4"/>
    <w:lvlOverride w:ilvl="5"/>
    <w:lvlOverride w:ilvl="6"/>
    <w:lvlOverride w:ilvl="7"/>
    <w:lvlOverride w:ilvl="8"/>
  </w:num>
  <w:num w:numId="2" w16cid:durableId="1155997060">
    <w:abstractNumId w:val="2"/>
    <w:lvlOverride w:ilvl="0"/>
    <w:lvlOverride w:ilvl="1"/>
    <w:lvlOverride w:ilvl="2"/>
    <w:lvlOverride w:ilvl="3"/>
    <w:lvlOverride w:ilvl="4"/>
    <w:lvlOverride w:ilvl="5"/>
    <w:lvlOverride w:ilvl="6"/>
    <w:lvlOverride w:ilvl="7"/>
    <w:lvlOverride w:ilvl="8"/>
  </w:num>
  <w:num w:numId="3" w16cid:durableId="1148866210">
    <w:abstractNumId w:val="1"/>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0169550">
    <w:abstractNumId w:val="3"/>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05"/>
    <w:rsid w:val="00051C1A"/>
    <w:rsid w:val="002B6054"/>
    <w:rsid w:val="00630205"/>
    <w:rsid w:val="006C0B77"/>
    <w:rsid w:val="008242FF"/>
    <w:rsid w:val="00835016"/>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4CA5"/>
  <w15:chartTrackingRefBased/>
  <w15:docId w15:val="{4BCA5861-FBF5-4E92-9E0F-6DA6E28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054"/>
    <w:pPr>
      <w:spacing w:line="256" w:lineRule="auto"/>
    </w:pPr>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qFormat/>
    <w:locked/>
    <w:rsid w:val="002B6054"/>
    <w:rPr>
      <w:rFonts w:ascii="Calibri" w:eastAsia="Calibri" w:hAnsi="Calibri" w:cs="Calibri"/>
      <w:kern w:val="0"/>
      <w:lang w:eastAsia="uk-UA"/>
      <w14:ligatures w14:val="none"/>
    </w:r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3"/>
    <w:uiPriority w:val="34"/>
    <w:qFormat/>
    <w:rsid w:val="002B6054"/>
    <w:pPr>
      <w:ind w:left="720"/>
      <w:contextualSpacing/>
    </w:pPr>
  </w:style>
  <w:style w:type="paragraph" w:customStyle="1" w:styleId="rvps2">
    <w:name w:val="rvps2"/>
    <w:basedOn w:val="a"/>
    <w:qFormat/>
    <w:rsid w:val="002B6054"/>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a5">
    <w:name w:val="Table Grid"/>
    <w:basedOn w:val="a1"/>
    <w:uiPriority w:val="39"/>
    <w:rsid w:val="002B60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23567</Words>
  <Characters>13434</Characters>
  <Application>Microsoft Office Word</Application>
  <DocSecurity>0</DocSecurity>
  <Lines>111</Lines>
  <Paragraphs>73</Paragraphs>
  <ScaleCrop>false</ScaleCrop>
  <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SMR Vitіuk</cp:lastModifiedBy>
  <cp:revision>2</cp:revision>
  <dcterms:created xsi:type="dcterms:W3CDTF">2024-02-29T13:26:00Z</dcterms:created>
  <dcterms:modified xsi:type="dcterms:W3CDTF">2024-02-29T13:27:00Z</dcterms:modified>
</cp:coreProperties>
</file>