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6BD" w:rsidRPr="002D56BD" w:rsidRDefault="002D56BD" w:rsidP="002D56BD">
      <w:pPr>
        <w:spacing w:after="160" w:line="240" w:lineRule="auto"/>
        <w:jc w:val="right"/>
        <w:rPr>
          <w:rFonts w:ascii="Times New Roman" w:eastAsia="Times New Roman" w:hAnsi="Times New Roman" w:cs="Times New Roman"/>
          <w:sz w:val="24"/>
          <w:szCs w:val="24"/>
          <w:lang w:val="uk-UA" w:eastAsia="ru-RU"/>
        </w:rPr>
      </w:pPr>
      <w:r w:rsidRPr="002D56BD">
        <w:rPr>
          <w:rFonts w:ascii="Times New Roman" w:eastAsia="Times New Roman" w:hAnsi="Times New Roman" w:cs="Times New Roman"/>
          <w:b/>
          <w:bCs/>
          <w:color w:val="000000"/>
          <w:sz w:val="24"/>
          <w:szCs w:val="24"/>
          <w:lang w:val="uk-UA" w:eastAsia="ru-RU"/>
        </w:rPr>
        <w:t>Додаток № 3 до тендерної документації</w:t>
      </w:r>
    </w:p>
    <w:p w:rsidR="002D56BD" w:rsidRPr="002D56BD" w:rsidRDefault="002D56BD" w:rsidP="002D56BD">
      <w:pPr>
        <w:pStyle w:val="a3"/>
        <w:tabs>
          <w:tab w:val="num" w:pos="-180"/>
          <w:tab w:val="left" w:pos="540"/>
        </w:tabs>
        <w:spacing w:before="0" w:beforeAutospacing="0" w:after="0" w:afterAutospacing="0" w:line="276" w:lineRule="auto"/>
        <w:ind w:left="-180"/>
        <w:jc w:val="right"/>
        <w:rPr>
          <w:b/>
          <w:sz w:val="28"/>
          <w:szCs w:val="28"/>
          <w:lang w:val="uk-UA"/>
        </w:rPr>
      </w:pPr>
    </w:p>
    <w:p w:rsidR="002D56BD" w:rsidRPr="002D56BD" w:rsidRDefault="002D56BD" w:rsidP="002D56BD">
      <w:pPr>
        <w:jc w:val="center"/>
        <w:rPr>
          <w:rFonts w:ascii="Times New Roman" w:hAnsi="Times New Roman" w:cs="Times New Roman"/>
          <w:b/>
          <w:sz w:val="24"/>
          <w:szCs w:val="24"/>
          <w:lang w:val="uk-UA"/>
        </w:rPr>
      </w:pPr>
      <w:r w:rsidRPr="002D56BD">
        <w:rPr>
          <w:rFonts w:ascii="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D56BD" w:rsidRPr="002D56BD" w:rsidRDefault="002D56BD" w:rsidP="002D56BD">
      <w:pPr>
        <w:spacing w:line="240" w:lineRule="auto"/>
        <w:ind w:firstLine="567"/>
        <w:jc w:val="center"/>
        <w:rPr>
          <w:rFonts w:ascii="Times New Roman" w:hAnsi="Times New Roman" w:cs="Times New Roman"/>
          <w:b/>
          <w:sz w:val="24"/>
          <w:szCs w:val="24"/>
          <w:lang w:val="uk-UA"/>
        </w:rPr>
      </w:pPr>
      <w:r w:rsidRPr="002D56BD">
        <w:rPr>
          <w:rFonts w:ascii="Times New Roman" w:hAnsi="Times New Roman" w:cs="Times New Roman"/>
          <w:b/>
          <w:sz w:val="24"/>
          <w:szCs w:val="24"/>
          <w:lang w:val="uk-UA"/>
        </w:rPr>
        <w:t>Перелік засобів вимірювальної техніки (ЗВТ)</w:t>
      </w:r>
    </w:p>
    <w:tbl>
      <w:tblPr>
        <w:tblStyle w:val="a7"/>
        <w:tblpPr w:leftFromText="180" w:rightFromText="180" w:vertAnchor="text" w:horzAnchor="margin" w:tblpXSpec="center" w:tblpY="81"/>
        <w:tblW w:w="7621" w:type="dxa"/>
        <w:tblLook w:val="04A0"/>
      </w:tblPr>
      <w:tblGrid>
        <w:gridCol w:w="709"/>
        <w:gridCol w:w="5495"/>
        <w:gridCol w:w="1417"/>
      </w:tblGrid>
      <w:tr w:rsidR="002D56BD" w:rsidRPr="002D56BD" w:rsidTr="00B80811">
        <w:trPr>
          <w:trHeight w:val="855"/>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w:t>
            </w:r>
          </w:p>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п/п</w:t>
            </w:r>
          </w:p>
        </w:tc>
        <w:tc>
          <w:tcPr>
            <w:tcW w:w="5495" w:type="dxa"/>
          </w:tcPr>
          <w:p w:rsidR="002D56BD" w:rsidRPr="002D56BD" w:rsidRDefault="002D56BD" w:rsidP="00B80811">
            <w:pPr>
              <w:jc w:val="center"/>
              <w:rPr>
                <w:rFonts w:ascii="Times New Roman" w:hAnsi="Times New Roman" w:cs="Times New Roman"/>
                <w:sz w:val="24"/>
                <w:szCs w:val="24"/>
                <w:lang w:val="uk-UA"/>
              </w:rPr>
            </w:pPr>
          </w:p>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Найменування ЗВТ</w:t>
            </w:r>
          </w:p>
        </w:tc>
        <w:tc>
          <w:tcPr>
            <w:tcW w:w="1417" w:type="dxa"/>
          </w:tcPr>
          <w:p w:rsidR="002D56BD" w:rsidRPr="002D56BD" w:rsidRDefault="002D56BD" w:rsidP="00B80811">
            <w:pPr>
              <w:jc w:val="center"/>
              <w:rPr>
                <w:rFonts w:ascii="Times New Roman" w:hAnsi="Times New Roman" w:cs="Times New Roman"/>
                <w:sz w:val="24"/>
                <w:szCs w:val="24"/>
                <w:lang w:val="uk-UA"/>
              </w:rPr>
            </w:pPr>
          </w:p>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Кількість</w:t>
            </w:r>
          </w:p>
          <w:p w:rsidR="002D56BD" w:rsidRPr="002D56BD" w:rsidRDefault="0087524D" w:rsidP="00B80811">
            <w:pPr>
              <w:jc w:val="center"/>
              <w:rPr>
                <w:rFonts w:ascii="Times New Roman" w:hAnsi="Times New Roman" w:cs="Times New Roman"/>
                <w:sz w:val="24"/>
                <w:szCs w:val="24"/>
                <w:lang w:val="uk-UA"/>
              </w:rPr>
            </w:pPr>
            <w:r>
              <w:rPr>
                <w:rFonts w:ascii="Times New Roman" w:hAnsi="Times New Roman" w:cs="Times New Roman"/>
                <w:sz w:val="24"/>
                <w:szCs w:val="24"/>
                <w:lang w:val="uk-UA"/>
              </w:rPr>
              <w:t>послуг</w:t>
            </w:r>
          </w:p>
        </w:tc>
      </w:tr>
      <w:tr w:rsidR="002D56BD" w:rsidRPr="002D56BD" w:rsidTr="00B80811">
        <w:trPr>
          <w:trHeight w:val="401"/>
        </w:trPr>
        <w:tc>
          <w:tcPr>
            <w:tcW w:w="709" w:type="dxa"/>
          </w:tcPr>
          <w:p w:rsidR="002D56BD" w:rsidRPr="002D56BD" w:rsidRDefault="002D56BD" w:rsidP="00B80811">
            <w:pPr>
              <w:jc w:val="center"/>
              <w:rPr>
                <w:rFonts w:ascii="Times New Roman" w:hAnsi="Times New Roman" w:cs="Times New Roman"/>
                <w:sz w:val="24"/>
                <w:szCs w:val="24"/>
                <w:lang w:val="uk-UA"/>
              </w:rPr>
            </w:pPr>
          </w:p>
        </w:tc>
        <w:tc>
          <w:tcPr>
            <w:tcW w:w="5495" w:type="dxa"/>
          </w:tcPr>
          <w:p w:rsidR="002D56BD" w:rsidRPr="002D56BD" w:rsidRDefault="002D56BD" w:rsidP="00B80811">
            <w:pPr>
              <w:rPr>
                <w:rFonts w:ascii="Times New Roman" w:hAnsi="Times New Roman" w:cs="Times New Roman"/>
                <w:b/>
                <w:sz w:val="24"/>
                <w:szCs w:val="24"/>
                <w:lang w:val="uk-UA"/>
              </w:rPr>
            </w:pPr>
            <w:r w:rsidRPr="002D56BD">
              <w:rPr>
                <w:rFonts w:ascii="Times New Roman" w:hAnsi="Times New Roman" w:cs="Times New Roman"/>
                <w:b/>
                <w:sz w:val="24"/>
                <w:szCs w:val="24"/>
                <w:lang w:val="uk-UA"/>
              </w:rPr>
              <w:t xml:space="preserve">Лот №1 Послуги з технічного обслуговування та повірки </w:t>
            </w:r>
          </w:p>
        </w:tc>
        <w:tc>
          <w:tcPr>
            <w:tcW w:w="1417" w:type="dxa"/>
          </w:tcPr>
          <w:p w:rsidR="002D56BD" w:rsidRPr="002D56BD" w:rsidRDefault="002D56BD" w:rsidP="00B80811">
            <w:pPr>
              <w:jc w:val="center"/>
              <w:rPr>
                <w:rFonts w:ascii="Times New Roman" w:hAnsi="Times New Roman" w:cs="Times New Roman"/>
                <w:sz w:val="24"/>
                <w:szCs w:val="24"/>
                <w:lang w:val="uk-UA"/>
              </w:rPr>
            </w:pPr>
          </w:p>
        </w:tc>
      </w:tr>
      <w:tr w:rsidR="002D56BD" w:rsidRPr="002D56BD" w:rsidTr="00B80811">
        <w:trPr>
          <w:trHeight w:val="42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Перетворювач тиску РС-28</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12</w:t>
            </w:r>
          </w:p>
        </w:tc>
      </w:tr>
      <w:tr w:rsidR="002D56BD" w:rsidRPr="002D56BD" w:rsidTr="00B80811">
        <w:trPr>
          <w:trHeight w:val="413"/>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2</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Перетворювач температури  ПВТ-01-1</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14</w:t>
            </w:r>
          </w:p>
        </w:tc>
      </w:tr>
      <w:tr w:rsidR="002D56BD" w:rsidRPr="002D56BD" w:rsidTr="00B80811">
        <w:trPr>
          <w:trHeight w:val="419"/>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3</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Обчислювач об’єму газу Універсал-02</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4</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4</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GMS-G-100-80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3</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5</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GMS-G-65-50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6</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GMS-G-40-40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7</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GMS-G-25-32</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2</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8</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GMS-G-16-40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9</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GMS-G-16-32</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3</w:t>
            </w:r>
          </w:p>
        </w:tc>
      </w:tr>
      <w:tr w:rsidR="002D56BD" w:rsidRPr="002D56BD" w:rsidTr="00B80811">
        <w:trPr>
          <w:trHeight w:val="411"/>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10</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Газовий лічильник GMS-G-10-32</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45"/>
        </w:trPr>
        <w:tc>
          <w:tcPr>
            <w:tcW w:w="709" w:type="dxa"/>
          </w:tcPr>
          <w:p w:rsidR="002D56BD" w:rsidRPr="002D56BD" w:rsidRDefault="002D56BD" w:rsidP="00B80811">
            <w:pPr>
              <w:jc w:val="center"/>
              <w:rPr>
                <w:rFonts w:ascii="Times New Roman" w:hAnsi="Times New Roman" w:cs="Times New Roman"/>
                <w:sz w:val="24"/>
                <w:szCs w:val="24"/>
                <w:lang w:val="uk-UA"/>
              </w:rPr>
            </w:pP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b/>
                <w:sz w:val="24"/>
                <w:szCs w:val="24"/>
                <w:lang w:val="uk-UA"/>
              </w:rPr>
              <w:t>Лот №2 Послуги з технічного обслуговування та повірки</w:t>
            </w:r>
          </w:p>
        </w:tc>
        <w:tc>
          <w:tcPr>
            <w:tcW w:w="1417" w:type="dxa"/>
          </w:tcPr>
          <w:p w:rsidR="002D56BD" w:rsidRPr="002D56BD" w:rsidRDefault="002D56BD" w:rsidP="00B80811">
            <w:pPr>
              <w:jc w:val="center"/>
              <w:rPr>
                <w:rFonts w:ascii="Times New Roman" w:hAnsi="Times New Roman" w:cs="Times New Roman"/>
                <w:sz w:val="24"/>
                <w:szCs w:val="24"/>
                <w:lang w:val="uk-UA"/>
              </w:rPr>
            </w:pPr>
          </w:p>
        </w:tc>
      </w:tr>
      <w:tr w:rsidR="002D56BD" w:rsidRPr="002D56BD" w:rsidTr="00B80811">
        <w:trPr>
          <w:trHeight w:val="429"/>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c>
          <w:tcPr>
            <w:tcW w:w="5495" w:type="dxa"/>
          </w:tcPr>
          <w:p w:rsidR="002D56BD" w:rsidRPr="002D56BD" w:rsidRDefault="002D56BD" w:rsidP="00B80811">
            <w:pPr>
              <w:jc w:val="center"/>
              <w:rPr>
                <w:rFonts w:ascii="Times New Roman" w:hAnsi="Times New Roman" w:cs="Times New Roman"/>
                <w:b/>
                <w:sz w:val="24"/>
                <w:szCs w:val="24"/>
                <w:lang w:val="uk-UA"/>
              </w:rPr>
            </w:pPr>
            <w:r w:rsidRPr="002D56BD">
              <w:rPr>
                <w:rFonts w:ascii="Times New Roman" w:hAnsi="Times New Roman" w:cs="Times New Roman"/>
                <w:sz w:val="24"/>
                <w:szCs w:val="24"/>
                <w:lang w:val="uk-UA"/>
              </w:rPr>
              <w:t>Газовий лічильник ЛГ-К-Ех150-650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2</w:t>
            </w:r>
          </w:p>
        </w:tc>
      </w:tr>
      <w:tr w:rsidR="002D56BD" w:rsidRPr="002D56BD" w:rsidTr="00B80811">
        <w:trPr>
          <w:trHeight w:val="408"/>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2</w:t>
            </w:r>
          </w:p>
        </w:tc>
        <w:tc>
          <w:tcPr>
            <w:tcW w:w="5495" w:type="dxa"/>
          </w:tcPr>
          <w:p w:rsidR="002D56BD" w:rsidRPr="002D56BD" w:rsidRDefault="002D56BD" w:rsidP="00B80811">
            <w:pPr>
              <w:jc w:val="center"/>
              <w:rPr>
                <w:rFonts w:ascii="Times New Roman" w:hAnsi="Times New Roman" w:cs="Times New Roman"/>
                <w:b/>
                <w:sz w:val="24"/>
                <w:szCs w:val="24"/>
                <w:lang w:val="uk-UA"/>
              </w:rPr>
            </w:pPr>
            <w:r w:rsidRPr="002D56BD">
              <w:rPr>
                <w:rFonts w:ascii="Times New Roman" w:hAnsi="Times New Roman" w:cs="Times New Roman"/>
                <w:sz w:val="24"/>
                <w:szCs w:val="24"/>
                <w:lang w:val="uk-UA"/>
              </w:rPr>
              <w:t>Газовий лічильник ЛГ-К-Ех80-160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45"/>
        </w:trPr>
        <w:tc>
          <w:tcPr>
            <w:tcW w:w="709" w:type="dxa"/>
          </w:tcPr>
          <w:p w:rsidR="002D56BD" w:rsidRPr="002D56BD" w:rsidRDefault="002D56BD" w:rsidP="00B80811">
            <w:pPr>
              <w:jc w:val="center"/>
              <w:rPr>
                <w:rFonts w:ascii="Times New Roman" w:hAnsi="Times New Roman" w:cs="Times New Roman"/>
                <w:sz w:val="24"/>
                <w:szCs w:val="24"/>
                <w:lang w:val="uk-UA"/>
              </w:rPr>
            </w:pPr>
          </w:p>
        </w:tc>
        <w:tc>
          <w:tcPr>
            <w:tcW w:w="5495" w:type="dxa"/>
          </w:tcPr>
          <w:p w:rsidR="002D56BD" w:rsidRPr="002D56BD" w:rsidRDefault="002D56BD" w:rsidP="00B80811">
            <w:pPr>
              <w:jc w:val="center"/>
              <w:rPr>
                <w:rFonts w:ascii="Times New Roman" w:hAnsi="Times New Roman" w:cs="Times New Roman"/>
                <w:b/>
                <w:sz w:val="24"/>
                <w:szCs w:val="24"/>
                <w:lang w:val="uk-UA"/>
              </w:rPr>
            </w:pPr>
            <w:r w:rsidRPr="002D56BD">
              <w:rPr>
                <w:rFonts w:ascii="Times New Roman" w:hAnsi="Times New Roman" w:cs="Times New Roman"/>
                <w:b/>
                <w:sz w:val="24"/>
                <w:szCs w:val="24"/>
                <w:lang w:val="uk-UA"/>
              </w:rPr>
              <w:t>Лот №3 Послуги з технічного обслуговування та повірки</w:t>
            </w:r>
          </w:p>
        </w:tc>
        <w:tc>
          <w:tcPr>
            <w:tcW w:w="1417" w:type="dxa"/>
          </w:tcPr>
          <w:p w:rsidR="002D56BD" w:rsidRPr="002D56BD" w:rsidRDefault="002D56BD" w:rsidP="00B80811">
            <w:pPr>
              <w:jc w:val="center"/>
              <w:rPr>
                <w:rFonts w:ascii="Times New Roman" w:hAnsi="Times New Roman" w:cs="Times New Roman"/>
                <w:b/>
                <w:sz w:val="24"/>
                <w:szCs w:val="24"/>
                <w:lang w:val="uk-UA"/>
              </w:rPr>
            </w:pPr>
          </w:p>
        </w:tc>
      </w:tr>
      <w:tr w:rsidR="002D56BD" w:rsidRPr="002D56BD" w:rsidTr="00B80811">
        <w:trPr>
          <w:trHeight w:val="445"/>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c>
          <w:tcPr>
            <w:tcW w:w="5495" w:type="dxa"/>
          </w:tcPr>
          <w:p w:rsidR="002D56BD" w:rsidRPr="002D56BD" w:rsidRDefault="002D56BD" w:rsidP="00B80811">
            <w:pPr>
              <w:jc w:val="center"/>
              <w:rPr>
                <w:rFonts w:ascii="Times New Roman" w:hAnsi="Times New Roman" w:cs="Times New Roman"/>
                <w:b/>
                <w:sz w:val="24"/>
                <w:szCs w:val="24"/>
                <w:lang w:val="uk-UA"/>
              </w:rPr>
            </w:pPr>
            <w:r w:rsidRPr="002D56BD">
              <w:rPr>
                <w:rFonts w:ascii="Times New Roman" w:hAnsi="Times New Roman" w:cs="Times New Roman"/>
                <w:sz w:val="24"/>
                <w:szCs w:val="24"/>
                <w:lang w:val="uk-UA"/>
              </w:rPr>
              <w:t xml:space="preserve">Газовий лічильник </w:t>
            </w:r>
            <w:proofErr w:type="spellStart"/>
            <w:r w:rsidRPr="002D56BD">
              <w:rPr>
                <w:rFonts w:ascii="Times New Roman" w:hAnsi="Times New Roman" w:cs="Times New Roman"/>
                <w:sz w:val="24"/>
                <w:szCs w:val="24"/>
                <w:lang w:val="uk-UA"/>
              </w:rPr>
              <w:t>КВР</w:t>
            </w:r>
            <w:proofErr w:type="spellEnd"/>
            <w:r w:rsidRPr="002D56BD">
              <w:rPr>
                <w:rFonts w:ascii="Times New Roman" w:hAnsi="Times New Roman" w:cs="Times New Roman"/>
                <w:sz w:val="24"/>
                <w:szCs w:val="24"/>
                <w:lang w:val="uk-UA"/>
              </w:rPr>
              <w:t>-1,01-G16-40</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r w:rsidR="002D56BD" w:rsidRPr="002D56BD" w:rsidTr="00B80811">
        <w:trPr>
          <w:trHeight w:val="445"/>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2</w:t>
            </w:r>
          </w:p>
        </w:tc>
        <w:tc>
          <w:tcPr>
            <w:tcW w:w="5495" w:type="dxa"/>
          </w:tcPr>
          <w:p w:rsidR="002D56BD" w:rsidRPr="002D56BD" w:rsidRDefault="002D56BD" w:rsidP="00B80811">
            <w:pPr>
              <w:jc w:val="center"/>
              <w:rPr>
                <w:rFonts w:ascii="Times New Roman" w:hAnsi="Times New Roman" w:cs="Times New Roman"/>
                <w:b/>
                <w:sz w:val="24"/>
                <w:szCs w:val="24"/>
                <w:lang w:val="uk-UA"/>
              </w:rPr>
            </w:pPr>
            <w:r w:rsidRPr="002D56BD">
              <w:rPr>
                <w:rFonts w:ascii="Times New Roman" w:hAnsi="Times New Roman" w:cs="Times New Roman"/>
                <w:sz w:val="24"/>
                <w:szCs w:val="24"/>
                <w:lang w:val="uk-UA"/>
              </w:rPr>
              <w:t>Обчислювач  об’єму газу КПЛГ-2,01</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3</w:t>
            </w:r>
          </w:p>
        </w:tc>
      </w:tr>
      <w:tr w:rsidR="002D56BD" w:rsidRPr="002D56BD" w:rsidTr="00B80811">
        <w:trPr>
          <w:trHeight w:val="445"/>
        </w:trPr>
        <w:tc>
          <w:tcPr>
            <w:tcW w:w="709"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3</w:t>
            </w:r>
          </w:p>
        </w:tc>
        <w:tc>
          <w:tcPr>
            <w:tcW w:w="5495"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Обчислювач  об’єму газу ВЕГА-1,01</w:t>
            </w:r>
          </w:p>
        </w:tc>
        <w:tc>
          <w:tcPr>
            <w:tcW w:w="1417" w:type="dxa"/>
          </w:tcPr>
          <w:p w:rsidR="002D56BD" w:rsidRPr="002D56BD" w:rsidRDefault="002D56BD" w:rsidP="00B80811">
            <w:pPr>
              <w:jc w:val="center"/>
              <w:rPr>
                <w:rFonts w:ascii="Times New Roman" w:hAnsi="Times New Roman" w:cs="Times New Roman"/>
                <w:sz w:val="24"/>
                <w:szCs w:val="24"/>
                <w:lang w:val="uk-UA"/>
              </w:rPr>
            </w:pPr>
            <w:r w:rsidRPr="002D56BD">
              <w:rPr>
                <w:rFonts w:ascii="Times New Roman" w:hAnsi="Times New Roman" w:cs="Times New Roman"/>
                <w:sz w:val="24"/>
                <w:szCs w:val="24"/>
                <w:lang w:val="uk-UA"/>
              </w:rPr>
              <w:t>1</w:t>
            </w:r>
          </w:p>
        </w:tc>
      </w:tr>
    </w:tbl>
    <w:p w:rsidR="002D56BD" w:rsidRPr="002D56BD" w:rsidRDefault="002D56BD" w:rsidP="002D56BD">
      <w:pPr>
        <w:jc w:val="center"/>
        <w:rPr>
          <w:rFonts w:ascii="Times New Roman" w:hAnsi="Times New Roman" w:cs="Times New Roman"/>
          <w:sz w:val="24"/>
          <w:szCs w:val="24"/>
          <w:lang w:val="uk-UA"/>
        </w:rPr>
      </w:pP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w:t>
      </w:r>
    </w:p>
    <w:p w:rsidR="002D56BD" w:rsidRPr="002D56BD" w:rsidRDefault="002D56BD" w:rsidP="002D56BD">
      <w:pPr>
        <w:tabs>
          <w:tab w:val="left" w:pos="2025"/>
        </w:tabs>
        <w:jc w:val="center"/>
        <w:rPr>
          <w:rFonts w:ascii="Times New Roman" w:hAnsi="Times New Roman" w:cs="Times New Roman"/>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r w:rsidRPr="002D56BD">
        <w:rPr>
          <w:rFonts w:ascii="Times New Roman" w:eastAsia="Calibri" w:hAnsi="Times New Roman" w:cs="Times New Roman"/>
          <w:color w:val="000000"/>
          <w:spacing w:val="4"/>
          <w:sz w:val="24"/>
          <w:szCs w:val="24"/>
          <w:lang w:val="uk-UA"/>
        </w:rPr>
        <w:t xml:space="preserve">1. Метрологічні послуги з ремонту, калібрування та повірки засобів вимірювальної техніки (надалі ЗВТ) надаються згідно Закону України «Про метрологію та метрологічну діяльність» чинних нормативних документів на всі види метрологічних послуг. </w:t>
      </w:r>
    </w:p>
    <w:p w:rsidR="002D56BD" w:rsidRPr="002D56BD" w:rsidRDefault="002D56BD" w:rsidP="002D56BD">
      <w:pPr>
        <w:spacing w:line="240" w:lineRule="auto"/>
        <w:ind w:firstLine="709"/>
        <w:jc w:val="both"/>
        <w:rPr>
          <w:rFonts w:ascii="Times New Roman" w:eastAsia="Calibri" w:hAnsi="Times New Roman" w:cs="Times New Roman"/>
          <w:color w:val="000000"/>
          <w:spacing w:val="4"/>
          <w:sz w:val="24"/>
          <w:szCs w:val="24"/>
          <w:lang w:val="uk-UA"/>
        </w:rPr>
      </w:pPr>
      <w:r w:rsidRPr="002D56BD">
        <w:rPr>
          <w:rFonts w:ascii="Times New Roman" w:eastAsia="Calibri" w:hAnsi="Times New Roman" w:cs="Times New Roman"/>
          <w:color w:val="000000"/>
          <w:spacing w:val="4"/>
          <w:sz w:val="24"/>
          <w:szCs w:val="24"/>
          <w:lang w:val="uk-UA"/>
        </w:rPr>
        <w:t xml:space="preserve">2. Надані послуги з проведення та оформлення результатів повірки повинні відповідати діючим станом на теперішній час державним стандартам,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Міністерства економічного розвитку і торгівлі України 08.02.2016р. № 193, іншим документам, чинним на дату проведення повірки. </w:t>
      </w:r>
    </w:p>
    <w:p w:rsidR="002D56BD" w:rsidRPr="002D56BD" w:rsidRDefault="002D56BD" w:rsidP="002D56BD">
      <w:pPr>
        <w:pStyle w:val="LO-normal"/>
        <w:jc w:val="both"/>
        <w:rPr>
          <w:rFonts w:ascii="Times New Roman" w:hAnsi="Times New Roman" w:cs="Times New Roman"/>
          <w:b/>
          <w:sz w:val="24"/>
          <w:szCs w:val="24"/>
        </w:rPr>
      </w:pPr>
      <w:r w:rsidRPr="002D56BD">
        <w:rPr>
          <w:rFonts w:ascii="Times New Roman" w:hAnsi="Times New Roman" w:cs="Times New Roman"/>
          <w:color w:val="000000"/>
          <w:sz w:val="24"/>
          <w:szCs w:val="24"/>
        </w:rPr>
        <w:lastRenderedPageBreak/>
        <w:tab/>
        <w:t>3</w:t>
      </w:r>
      <w:r w:rsidRPr="002D56BD">
        <w:rPr>
          <w:rFonts w:ascii="Times New Roman" w:hAnsi="Times New Roman" w:cs="Times New Roman"/>
          <w:color w:val="000000"/>
          <w:spacing w:val="4"/>
          <w:sz w:val="24"/>
          <w:szCs w:val="24"/>
        </w:rPr>
        <w:t>. Результатом надання послуг є видане свідоцтво про повірку на кожен ЗВТ або довідка про непридатність ЗВТ і</w:t>
      </w:r>
      <w:r w:rsidRPr="002D56BD">
        <w:rPr>
          <w:rFonts w:ascii="Times New Roman" w:hAnsi="Times New Roman" w:cs="Times New Roman"/>
          <w:sz w:val="24"/>
          <w:szCs w:val="24"/>
        </w:rPr>
        <w:t>з здійсненням відмітки в паспорті повноважним представником органу стандартизації, метрології та сертифікації (за наявності паспорта).</w:t>
      </w:r>
    </w:p>
    <w:p w:rsidR="002D56BD" w:rsidRPr="002D56BD" w:rsidRDefault="002D56BD" w:rsidP="002D56BD">
      <w:pPr>
        <w:pStyle w:val="a3"/>
        <w:tabs>
          <w:tab w:val="left" w:pos="720"/>
        </w:tabs>
        <w:spacing w:before="0" w:beforeAutospacing="0" w:after="0" w:afterAutospacing="0"/>
        <w:jc w:val="both"/>
        <w:rPr>
          <w:lang w:val="uk-UA"/>
        </w:rPr>
      </w:pPr>
      <w:r w:rsidRPr="002D56BD">
        <w:rPr>
          <w:lang w:val="uk-UA"/>
        </w:rPr>
        <w:tab/>
        <w:t>Виконавець повинен надати на кожен повірений прилад протокол повірки по контрольованих точках. Результати повірки оформлюються відповідно до діючих вимог та до встановленого у Виконавця порядку.</w:t>
      </w:r>
    </w:p>
    <w:p w:rsidR="002D56BD" w:rsidRPr="002D56BD" w:rsidRDefault="002D56BD" w:rsidP="002D56BD">
      <w:pPr>
        <w:pStyle w:val="a3"/>
        <w:tabs>
          <w:tab w:val="left" w:pos="720"/>
        </w:tabs>
        <w:spacing w:before="0" w:beforeAutospacing="0" w:after="0" w:afterAutospacing="0"/>
        <w:ind w:firstLine="709"/>
        <w:jc w:val="both"/>
        <w:rPr>
          <w:rFonts w:eastAsia="Calibri"/>
          <w:color w:val="000000"/>
          <w:spacing w:val="4"/>
          <w:lang w:val="uk-UA"/>
        </w:rPr>
      </w:pPr>
      <w:r w:rsidRPr="002D56BD">
        <w:rPr>
          <w:lang w:val="uk-UA"/>
        </w:rPr>
        <w:t xml:space="preserve"> Калібрування та повірки ЗВТ повинні бути проведені згідно з діючими методиками з використанням відповідних еталонів, що мають чинні сертифікати калібрування.</w:t>
      </w:r>
    </w:p>
    <w:p w:rsidR="002D56BD" w:rsidRPr="002D56BD" w:rsidRDefault="002D56BD" w:rsidP="002D56BD">
      <w:pPr>
        <w:pStyle w:val="a5"/>
        <w:ind w:firstLine="709"/>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Під час проведення повірки промислових лічильників газу Виконавець має проводить на обладнанні з найвищим класом точності згідно міжнародним стандартам та використанням відповідних еталонів. Обладнання має забезпечити повірку промислових лічильників турбінного та роторного типу з розміром фланців DN32-DN150 і витратою від 0,8 м³/год.  до 1000 м³/год.                        </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Обладнання має реєструвати втрати тиску, перепад температури на лічильнику та відносну вологість робочого середовища і виконувати розрахунок похибок з компенсацією зміни тиску, температури та відносної вологості.                                                                                                                                                                     </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Невизначеність вимірювань обладнання, що застосовується для повірки промислових лічильників газу, не повинна перевищувати наступні значення:  </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- 0,05 м³/год.  - 2 м³/год.  ˂ 0,3%  (к=2)  </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  &gt; 2 м³/год. - 650 м³/год.  ˂ 0,25%  (к=2)</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Для здійснення повірки обчислювачів об’єму газу, перетворювачів тиску, перепаду тиску та температури використовується стенд з наступними характеристиками:</w:t>
      </w:r>
    </w:p>
    <w:p w:rsidR="002D56BD" w:rsidRPr="002D56BD" w:rsidRDefault="002D56BD" w:rsidP="002D56BD">
      <w:pPr>
        <w:pStyle w:val="a5"/>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діапазон вимірювання температури:  -45ºС…+155 ºС, похибка:±0,1 ºС/0,04 ºС</w:t>
      </w:r>
    </w:p>
    <w:p w:rsidR="002D56BD" w:rsidRPr="002D56BD" w:rsidRDefault="002D56BD" w:rsidP="002D56BD">
      <w:pPr>
        <w:pStyle w:val="a5"/>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діапазон вимірювання тиску - 100…2000 </w:t>
      </w:r>
      <w:proofErr w:type="spellStart"/>
      <w:r w:rsidRPr="002D56BD">
        <w:rPr>
          <w:rFonts w:ascii="Times New Roman" w:hAnsi="Times New Roman" w:cs="Times New Roman"/>
          <w:sz w:val="24"/>
          <w:szCs w:val="24"/>
          <w:lang w:val="uk-UA"/>
        </w:rPr>
        <w:t>кПа</w:t>
      </w:r>
      <w:proofErr w:type="spellEnd"/>
      <w:r w:rsidRPr="002D56BD">
        <w:rPr>
          <w:rFonts w:ascii="Times New Roman" w:hAnsi="Times New Roman" w:cs="Times New Roman"/>
          <w:sz w:val="24"/>
          <w:szCs w:val="24"/>
          <w:lang w:val="uk-UA"/>
        </w:rPr>
        <w:t>, похибка +/- 0,025 %</w:t>
      </w:r>
    </w:p>
    <w:p w:rsidR="002D56BD" w:rsidRPr="002D56BD" w:rsidRDefault="002D56BD" w:rsidP="002D56BD">
      <w:pPr>
        <w:pStyle w:val="a5"/>
        <w:ind w:firstLine="567"/>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До повірки обчислювачів об’єму газу входить оновлення внутрішнього програмного забезпечення (при необхідності).</w:t>
      </w:r>
    </w:p>
    <w:p w:rsidR="002D56BD" w:rsidRPr="002D56BD" w:rsidRDefault="002D56BD" w:rsidP="002D56BD">
      <w:pPr>
        <w:pStyle w:val="a5"/>
        <w:ind w:firstLine="567"/>
        <w:rPr>
          <w:rFonts w:ascii="Times New Roman" w:hAnsi="Times New Roman" w:cs="Times New Roman"/>
          <w:sz w:val="24"/>
          <w:szCs w:val="24"/>
          <w:lang w:val="uk-UA"/>
        </w:rPr>
      </w:pPr>
    </w:p>
    <w:p w:rsidR="002D56BD" w:rsidRPr="002D56BD" w:rsidRDefault="002D56BD" w:rsidP="002D56BD">
      <w:pPr>
        <w:pStyle w:val="a5"/>
        <w:ind w:firstLine="567"/>
        <w:jc w:val="both"/>
        <w:rPr>
          <w:rFonts w:ascii="Times New Roman" w:hAnsi="Times New Roman" w:cs="Times New Roman"/>
          <w:sz w:val="24"/>
          <w:szCs w:val="24"/>
          <w:lang w:val="uk-UA"/>
        </w:rPr>
      </w:pPr>
      <w:r w:rsidRPr="002D56BD">
        <w:rPr>
          <w:rFonts w:ascii="Times New Roman" w:hAnsi="Times New Roman" w:cs="Times New Roman"/>
          <w:sz w:val="24"/>
          <w:szCs w:val="24"/>
          <w:lang w:val="uk-UA"/>
        </w:rPr>
        <w:t>Виконавець надає підтвердні документи (сертифікати відповідності) про наявність обладнання з відповідним класом точності  для   проведення повірки (калібрування).</w:t>
      </w:r>
    </w:p>
    <w:p w:rsidR="002D56BD" w:rsidRPr="002D56BD" w:rsidRDefault="002D56BD" w:rsidP="002D56BD">
      <w:pPr>
        <w:pStyle w:val="a5"/>
        <w:ind w:firstLine="567"/>
        <w:rPr>
          <w:rFonts w:ascii="Times New Roman" w:hAnsi="Times New Roman" w:cs="Times New Roman"/>
          <w:sz w:val="24"/>
          <w:szCs w:val="24"/>
          <w:lang w:val="uk-UA"/>
        </w:rPr>
      </w:pPr>
      <w:r w:rsidRPr="002D56BD">
        <w:rPr>
          <w:rFonts w:ascii="Times New Roman" w:hAnsi="Times New Roman" w:cs="Times New Roman"/>
          <w:sz w:val="24"/>
          <w:szCs w:val="24"/>
          <w:lang w:val="uk-UA"/>
        </w:rPr>
        <w:t xml:space="preserve">                    </w:t>
      </w:r>
    </w:p>
    <w:p w:rsidR="002D56BD" w:rsidRPr="002D56BD" w:rsidRDefault="002D56BD" w:rsidP="002D56BD">
      <w:pPr>
        <w:spacing w:line="240" w:lineRule="auto"/>
        <w:ind w:firstLine="567"/>
        <w:jc w:val="both"/>
        <w:rPr>
          <w:rFonts w:ascii="Times New Roman" w:hAnsi="Times New Roman" w:cs="Times New Roman"/>
          <w:sz w:val="24"/>
          <w:szCs w:val="24"/>
          <w:lang w:val="uk-UA"/>
        </w:rPr>
      </w:pPr>
      <w:r w:rsidRPr="002D56BD">
        <w:rPr>
          <w:rFonts w:ascii="Times New Roman" w:hAnsi="Times New Roman" w:cs="Times New Roman"/>
          <w:sz w:val="24"/>
          <w:szCs w:val="24"/>
          <w:lang w:val="uk-UA" w:eastAsia="ru-RU"/>
        </w:rPr>
        <w:t>4. Термін надання послуг – 15 робочих днів з дня передачі обладнання для надання послуг, згідно письмової заявки Замовника, за винятком тих приладів, повірка яких згідно з методикою, перевищує цей термін.</w:t>
      </w:r>
    </w:p>
    <w:p w:rsidR="002D56BD" w:rsidRPr="002D56BD" w:rsidRDefault="002D56BD" w:rsidP="002D56BD">
      <w:pPr>
        <w:spacing w:line="240" w:lineRule="auto"/>
        <w:jc w:val="both"/>
        <w:rPr>
          <w:rFonts w:ascii="Times New Roman" w:eastAsia="Calibri" w:hAnsi="Times New Roman" w:cs="Times New Roman"/>
          <w:color w:val="000000"/>
          <w:sz w:val="24"/>
          <w:szCs w:val="24"/>
          <w:lang w:val="uk-UA"/>
        </w:rPr>
      </w:pPr>
      <w:r w:rsidRPr="002D56BD">
        <w:rPr>
          <w:rFonts w:ascii="Times New Roman" w:eastAsia="Calibri" w:hAnsi="Times New Roman" w:cs="Times New Roman"/>
          <w:color w:val="000000"/>
          <w:sz w:val="24"/>
          <w:szCs w:val="24"/>
          <w:lang w:val="uk-UA"/>
        </w:rPr>
        <w:t xml:space="preserve">            5. Загальна вартість робіт формується на підставі узгодженого Переліку обладнання та визначається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КМУ від 28.10.15 № 865.</w:t>
      </w:r>
    </w:p>
    <w:p w:rsidR="002D56BD" w:rsidRPr="002D56BD" w:rsidRDefault="002D56BD" w:rsidP="002D56BD">
      <w:pPr>
        <w:spacing w:line="240" w:lineRule="auto"/>
        <w:jc w:val="both"/>
        <w:rPr>
          <w:rFonts w:ascii="Times New Roman" w:eastAsia="Calibri" w:hAnsi="Times New Roman" w:cs="Times New Roman"/>
          <w:color w:val="000000"/>
          <w:sz w:val="24"/>
          <w:szCs w:val="24"/>
          <w:lang w:val="uk-UA"/>
        </w:rPr>
      </w:pPr>
      <w:r w:rsidRPr="002D56BD">
        <w:rPr>
          <w:rFonts w:ascii="Times New Roman" w:eastAsia="Calibri" w:hAnsi="Times New Roman" w:cs="Times New Roman"/>
          <w:color w:val="000000"/>
          <w:sz w:val="24"/>
          <w:szCs w:val="24"/>
          <w:lang w:val="uk-UA"/>
        </w:rPr>
        <w:t xml:space="preserve">            6. </w:t>
      </w:r>
      <w:r w:rsidRPr="002D56BD">
        <w:rPr>
          <w:rFonts w:ascii="Times New Roman" w:hAnsi="Times New Roman" w:cs="Times New Roman"/>
          <w:sz w:val="24"/>
          <w:szCs w:val="24"/>
          <w:lang w:val="uk-UA"/>
        </w:rPr>
        <w:t>Доставка ЗВТ в сервісний центр і назад до Замовника здійснюється за рахунок Учасника. Спосіб доставки – за домовленістю Сторін.</w:t>
      </w:r>
    </w:p>
    <w:p w:rsidR="002D56BD" w:rsidRPr="002D56BD" w:rsidRDefault="002D56BD" w:rsidP="002D56BD">
      <w:pPr>
        <w:pStyle w:val="a3"/>
        <w:spacing w:before="0" w:beforeAutospacing="0" w:after="0" w:afterAutospacing="0"/>
        <w:ind w:firstLine="708"/>
        <w:jc w:val="both"/>
        <w:rPr>
          <w:lang w:val="uk-UA"/>
        </w:rPr>
      </w:pPr>
      <w:r w:rsidRPr="002D56BD">
        <w:rPr>
          <w:lang w:val="uk-UA"/>
        </w:rPr>
        <w:t>7. Усі витрати при наданні послуг з  метрологічної повірки в тому числі: транспортні витрати,  витрати, пов’язані з видачею відповідних Свідоцтв, довідок  про повірку, витрати на відрядження,  витрати пов’язанні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p>
    <w:p w:rsidR="002D56BD" w:rsidRPr="002D56BD" w:rsidRDefault="002D56BD" w:rsidP="002D56BD">
      <w:pPr>
        <w:pStyle w:val="a3"/>
        <w:spacing w:before="0" w:beforeAutospacing="0" w:after="0" w:afterAutospacing="0"/>
        <w:jc w:val="both"/>
        <w:rPr>
          <w:lang w:val="uk-UA"/>
        </w:rPr>
      </w:pPr>
    </w:p>
    <w:p w:rsidR="00AF5613" w:rsidRPr="002D56BD" w:rsidRDefault="00AF5613">
      <w:pPr>
        <w:rPr>
          <w:lang w:val="uk-UA"/>
        </w:rPr>
      </w:pPr>
    </w:p>
    <w:sectPr w:rsidR="00AF5613" w:rsidRPr="002D56BD" w:rsidSect="00AF5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6BD"/>
    <w:rsid w:val="002D56BD"/>
    <w:rsid w:val="0087524D"/>
    <w:rsid w:val="00AF5613"/>
    <w:rsid w:val="00C87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2D5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2D56BD"/>
    <w:pPr>
      <w:spacing w:after="0" w:line="240" w:lineRule="auto"/>
    </w:pPr>
  </w:style>
  <w:style w:type="table" w:styleId="a7">
    <w:name w:val="Table Grid"/>
    <w:basedOn w:val="a1"/>
    <w:uiPriority w:val="59"/>
    <w:rsid w:val="002D5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2D56BD"/>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2D56BD"/>
  </w:style>
  <w:style w:type="paragraph" w:customStyle="1" w:styleId="LO-normal">
    <w:name w:val="LO-normal"/>
    <w:qFormat/>
    <w:rsid w:val="002D56BD"/>
    <w:pPr>
      <w:spacing w:after="0" w:line="240" w:lineRule="auto"/>
    </w:pPr>
    <w:rPr>
      <w:rFonts w:ascii="Calibri" w:eastAsia="Calibri" w:hAnsi="Calibri" w:cs="Calibri"/>
      <w:color w:val="00000A"/>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3</cp:revision>
  <dcterms:created xsi:type="dcterms:W3CDTF">2023-06-12T09:08:00Z</dcterms:created>
  <dcterms:modified xsi:type="dcterms:W3CDTF">2023-06-12T09:40:00Z</dcterms:modified>
</cp:coreProperties>
</file>