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735A44">
              <w:rPr>
                <w:rFonts w:ascii="Times New Roman" w:eastAsia="Times New Roman" w:hAnsi="Times New Roman" w:cs="Times New Roman"/>
                <w:b/>
                <w:sz w:val="24"/>
                <w:szCs w:val="24"/>
                <w:lang w:val="uk-UA" w:eastAsia="zh-CN"/>
              </w:rPr>
              <w:t>уповноваженої особи</w:t>
            </w:r>
          </w:p>
          <w:p w14:paraId="45723A8F" w14:textId="6CF4E55A"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735A44">
              <w:rPr>
                <w:rFonts w:ascii="Times New Roman" w:eastAsia="Times New Roman" w:hAnsi="Times New Roman" w:cs="Times New Roman"/>
                <w:b/>
                <w:sz w:val="24"/>
                <w:szCs w:val="24"/>
                <w:lang w:val="uk-UA" w:eastAsia="zh-CN"/>
              </w:rPr>
              <w:t xml:space="preserve">Протокол </w:t>
            </w:r>
            <w:r w:rsidRPr="00FB7F93">
              <w:rPr>
                <w:rFonts w:ascii="Times New Roman" w:eastAsia="Times New Roman" w:hAnsi="Times New Roman" w:cs="Times New Roman"/>
                <w:b/>
                <w:color w:val="000000" w:themeColor="text1"/>
                <w:sz w:val="24"/>
                <w:szCs w:val="24"/>
                <w:lang w:val="uk-UA" w:eastAsia="zh-CN"/>
              </w:rPr>
              <w:t>від</w:t>
            </w:r>
            <w:r w:rsidR="007C23F3" w:rsidRPr="00FB7F93">
              <w:rPr>
                <w:rFonts w:ascii="Times New Roman" w:eastAsia="Times New Roman" w:hAnsi="Times New Roman" w:cs="Times New Roman"/>
                <w:b/>
                <w:color w:val="000000" w:themeColor="text1"/>
                <w:sz w:val="24"/>
                <w:szCs w:val="24"/>
                <w:lang w:val="uk-UA" w:eastAsia="zh-CN"/>
              </w:rPr>
              <w:t xml:space="preserve"> </w:t>
            </w:r>
            <w:r w:rsidR="008F6E8E" w:rsidRPr="00FB7F93">
              <w:rPr>
                <w:rFonts w:ascii="Times New Roman" w:eastAsia="Times New Roman" w:hAnsi="Times New Roman" w:cs="Times New Roman"/>
                <w:b/>
                <w:color w:val="000000" w:themeColor="text1"/>
                <w:sz w:val="24"/>
                <w:szCs w:val="24"/>
                <w:lang w:val="uk-UA" w:eastAsia="zh-CN"/>
              </w:rPr>
              <w:t>1</w:t>
            </w:r>
            <w:r w:rsidR="00FB7F93" w:rsidRPr="00FB7F93">
              <w:rPr>
                <w:rFonts w:ascii="Times New Roman" w:eastAsia="Times New Roman" w:hAnsi="Times New Roman" w:cs="Times New Roman"/>
                <w:b/>
                <w:color w:val="000000" w:themeColor="text1"/>
                <w:sz w:val="24"/>
                <w:szCs w:val="24"/>
                <w:lang w:val="uk-UA" w:eastAsia="zh-CN"/>
              </w:rPr>
              <w:t>5</w:t>
            </w:r>
            <w:r w:rsidR="00F42847" w:rsidRPr="00FB7F93">
              <w:rPr>
                <w:rFonts w:ascii="Times New Roman" w:eastAsia="Times New Roman" w:hAnsi="Times New Roman" w:cs="Times New Roman"/>
                <w:b/>
                <w:color w:val="000000" w:themeColor="text1"/>
                <w:sz w:val="24"/>
                <w:szCs w:val="24"/>
                <w:lang w:val="uk-UA" w:eastAsia="zh-CN"/>
              </w:rPr>
              <w:t>.</w:t>
            </w:r>
            <w:r w:rsidR="00B118C2" w:rsidRPr="00FB7F93">
              <w:rPr>
                <w:rFonts w:ascii="Times New Roman" w:eastAsia="Times New Roman" w:hAnsi="Times New Roman" w:cs="Times New Roman"/>
                <w:b/>
                <w:color w:val="000000" w:themeColor="text1"/>
                <w:sz w:val="24"/>
                <w:szCs w:val="24"/>
                <w:lang w:val="uk-UA" w:eastAsia="zh-CN"/>
              </w:rPr>
              <w:t>1</w:t>
            </w:r>
            <w:r w:rsidR="009152B3" w:rsidRPr="00FB7F93">
              <w:rPr>
                <w:rFonts w:ascii="Times New Roman" w:eastAsia="Times New Roman" w:hAnsi="Times New Roman" w:cs="Times New Roman"/>
                <w:b/>
                <w:color w:val="000000" w:themeColor="text1"/>
                <w:sz w:val="24"/>
                <w:szCs w:val="24"/>
                <w:lang w:eastAsia="zh-CN"/>
              </w:rPr>
              <w:t>2</w:t>
            </w:r>
            <w:r w:rsidR="00291894" w:rsidRPr="00FB7F93">
              <w:rPr>
                <w:rFonts w:ascii="Times New Roman" w:eastAsia="Times New Roman" w:hAnsi="Times New Roman" w:cs="Times New Roman"/>
                <w:b/>
                <w:color w:val="000000" w:themeColor="text1"/>
                <w:sz w:val="24"/>
                <w:szCs w:val="24"/>
                <w:lang w:val="uk-UA" w:eastAsia="zh-CN"/>
              </w:rPr>
              <w:t>.</w:t>
            </w:r>
            <w:r w:rsidR="00CC4C3D" w:rsidRPr="00FB7F93">
              <w:rPr>
                <w:rFonts w:ascii="Times New Roman" w:eastAsia="Times New Roman" w:hAnsi="Times New Roman" w:cs="Times New Roman"/>
                <w:b/>
                <w:color w:val="000000" w:themeColor="text1"/>
                <w:sz w:val="24"/>
                <w:szCs w:val="24"/>
                <w:lang w:val="uk-UA" w:eastAsia="zh-CN"/>
              </w:rPr>
              <w:t>202</w:t>
            </w:r>
            <w:r w:rsidR="007A670C" w:rsidRPr="00FB7F93">
              <w:rPr>
                <w:rFonts w:ascii="Times New Roman" w:eastAsia="Times New Roman" w:hAnsi="Times New Roman" w:cs="Times New Roman"/>
                <w:b/>
                <w:color w:val="000000" w:themeColor="text1"/>
                <w:sz w:val="24"/>
                <w:szCs w:val="24"/>
                <w:lang w:val="uk-UA" w:eastAsia="zh-CN"/>
              </w:rPr>
              <w:t>3</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Pr="00735A44"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77DF20A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172633EA" w14:textId="77777777" w:rsidR="008F6E8E" w:rsidRDefault="008F6E8E" w:rsidP="006F1366">
      <w:pPr>
        <w:spacing w:after="240" w:line="240" w:lineRule="auto"/>
        <w:jc w:val="center"/>
        <w:rPr>
          <w:rFonts w:ascii="Times New Roman" w:eastAsia="Times New Roman" w:hAnsi="Times New Roman" w:cs="Times New Roman"/>
          <w:b/>
          <w:bCs/>
          <w:color w:val="000000" w:themeColor="text1"/>
          <w:sz w:val="24"/>
          <w:szCs w:val="24"/>
          <w:lang w:val="uk-UA"/>
        </w:rPr>
      </w:pPr>
      <w:r w:rsidRPr="008F6E8E">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  М-19 </w:t>
      </w:r>
      <w:proofErr w:type="spellStart"/>
      <w:r w:rsidRPr="008F6E8E">
        <w:rPr>
          <w:rFonts w:ascii="Times New Roman" w:eastAsia="Times New Roman" w:hAnsi="Times New Roman" w:cs="Times New Roman"/>
          <w:b/>
          <w:bCs/>
          <w:color w:val="000000" w:themeColor="text1"/>
          <w:sz w:val="24"/>
          <w:szCs w:val="24"/>
          <w:lang w:val="uk-UA"/>
        </w:rPr>
        <w:t>Доманове</w:t>
      </w:r>
      <w:proofErr w:type="spellEnd"/>
      <w:r w:rsidRPr="008F6E8E">
        <w:rPr>
          <w:rFonts w:ascii="Times New Roman" w:eastAsia="Times New Roman" w:hAnsi="Times New Roman" w:cs="Times New Roman"/>
          <w:b/>
          <w:bCs/>
          <w:color w:val="000000" w:themeColor="text1"/>
          <w:sz w:val="24"/>
          <w:szCs w:val="24"/>
          <w:lang w:val="uk-UA"/>
        </w:rPr>
        <w:t xml:space="preserve"> (на </w:t>
      </w:r>
      <w:proofErr w:type="spellStart"/>
      <w:r w:rsidRPr="008F6E8E">
        <w:rPr>
          <w:rFonts w:ascii="Times New Roman" w:eastAsia="Times New Roman" w:hAnsi="Times New Roman" w:cs="Times New Roman"/>
          <w:b/>
          <w:bCs/>
          <w:color w:val="000000" w:themeColor="text1"/>
          <w:sz w:val="24"/>
          <w:szCs w:val="24"/>
          <w:lang w:val="uk-UA"/>
        </w:rPr>
        <w:t>м.Брест</w:t>
      </w:r>
      <w:proofErr w:type="spellEnd"/>
      <w:r w:rsidRPr="008F6E8E">
        <w:rPr>
          <w:rFonts w:ascii="Times New Roman" w:eastAsia="Times New Roman" w:hAnsi="Times New Roman" w:cs="Times New Roman"/>
          <w:b/>
          <w:bCs/>
          <w:color w:val="000000" w:themeColor="text1"/>
          <w:sz w:val="24"/>
          <w:szCs w:val="24"/>
          <w:lang w:val="uk-UA"/>
        </w:rPr>
        <w:t xml:space="preserve">) - Ковель - Чернівці - </w:t>
      </w:r>
      <w:proofErr w:type="spellStart"/>
      <w:r w:rsidRPr="008F6E8E">
        <w:rPr>
          <w:rFonts w:ascii="Times New Roman" w:eastAsia="Times New Roman" w:hAnsi="Times New Roman" w:cs="Times New Roman"/>
          <w:b/>
          <w:bCs/>
          <w:color w:val="000000" w:themeColor="text1"/>
          <w:sz w:val="24"/>
          <w:szCs w:val="24"/>
          <w:lang w:val="uk-UA"/>
        </w:rPr>
        <w:t>Тереблече</w:t>
      </w:r>
      <w:proofErr w:type="spellEnd"/>
      <w:r w:rsidRPr="008F6E8E">
        <w:rPr>
          <w:rFonts w:ascii="Times New Roman" w:eastAsia="Times New Roman" w:hAnsi="Times New Roman" w:cs="Times New Roman"/>
          <w:b/>
          <w:bCs/>
          <w:color w:val="000000" w:themeColor="text1"/>
          <w:sz w:val="24"/>
          <w:szCs w:val="24"/>
          <w:lang w:val="uk-UA"/>
        </w:rPr>
        <w:t xml:space="preserve"> (на </w:t>
      </w:r>
      <w:proofErr w:type="spellStart"/>
      <w:r w:rsidRPr="008F6E8E">
        <w:rPr>
          <w:rFonts w:ascii="Times New Roman" w:eastAsia="Times New Roman" w:hAnsi="Times New Roman" w:cs="Times New Roman"/>
          <w:b/>
          <w:bCs/>
          <w:color w:val="000000" w:themeColor="text1"/>
          <w:sz w:val="24"/>
          <w:szCs w:val="24"/>
          <w:lang w:val="uk-UA"/>
        </w:rPr>
        <w:t>м.Бухарест</w:t>
      </w:r>
      <w:proofErr w:type="spellEnd"/>
      <w:r w:rsidRPr="008F6E8E">
        <w:rPr>
          <w:rFonts w:ascii="Times New Roman" w:eastAsia="Times New Roman" w:hAnsi="Times New Roman" w:cs="Times New Roman"/>
          <w:b/>
          <w:bCs/>
          <w:color w:val="000000" w:themeColor="text1"/>
          <w:sz w:val="24"/>
          <w:szCs w:val="24"/>
          <w:lang w:val="uk-UA"/>
        </w:rPr>
        <w:t xml:space="preserve">) на ділянці км 404+577 у Тернопільській області) </w:t>
      </w:r>
    </w:p>
    <w:p w14:paraId="41B1CA49" w14:textId="3760C9B0" w:rsidR="006F1366" w:rsidRPr="006F1366" w:rsidRDefault="006F1366" w:rsidP="006F1366">
      <w:pPr>
        <w:spacing w:after="240" w:line="240" w:lineRule="auto"/>
        <w:jc w:val="center"/>
        <w:rPr>
          <w:rFonts w:ascii="Times New Roman" w:eastAsia="Times New Roman" w:hAnsi="Times New Roman" w:cs="Times New Roman"/>
          <w:b/>
          <w:bCs/>
          <w:color w:val="000000" w:themeColor="text1"/>
          <w:sz w:val="24"/>
          <w:szCs w:val="24"/>
          <w:lang w:val="uk-UA"/>
        </w:rPr>
      </w:pPr>
      <w:r w:rsidRPr="006F1366">
        <w:rPr>
          <w:rFonts w:ascii="Times New Roman" w:eastAsia="Times New Roman" w:hAnsi="Times New Roman" w:cs="Times New Roman"/>
          <w:b/>
          <w:bCs/>
          <w:color w:val="000000" w:themeColor="text1"/>
          <w:sz w:val="24"/>
          <w:szCs w:val="24"/>
          <w:lang w:val="uk-UA"/>
        </w:rPr>
        <w:t>(ДК 021:2015: 79710000-4 – Охоронні послуги)</w:t>
      </w:r>
    </w:p>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Pr="00735A44" w:rsidRDefault="00C74134"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33D6D130" w14:textId="77777777" w:rsidR="006F1366" w:rsidRDefault="006F1366" w:rsidP="00C20CD1">
      <w:pPr>
        <w:spacing w:after="240" w:line="240" w:lineRule="auto"/>
        <w:rPr>
          <w:rFonts w:ascii="Times New Roman" w:eastAsia="Times New Roman" w:hAnsi="Times New Roman" w:cs="Times New Roman"/>
          <w:sz w:val="24"/>
          <w:szCs w:val="24"/>
          <w:lang w:val="uk-UA"/>
        </w:rPr>
      </w:pPr>
    </w:p>
    <w:p w14:paraId="50D6E22D"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1628638B"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23AAD0C7" w:rsidR="00B357DB" w:rsidRPr="00735A44"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ru-RU"/>
        </w:rPr>
      </w:pPr>
      <w:r w:rsidRPr="00735A44">
        <w:rPr>
          <w:rFonts w:ascii="Times New Roman" w:eastAsia="Times New Roman" w:hAnsi="Times New Roman" w:cs="Times New Roman"/>
          <w:b/>
          <w:bCs/>
          <w:color w:val="000000"/>
          <w:sz w:val="24"/>
          <w:szCs w:val="24"/>
          <w:lang w:val="ru-RU"/>
        </w:rPr>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7A670C" w:rsidRPr="00735A44">
        <w:rPr>
          <w:rFonts w:ascii="Times New Roman" w:eastAsia="Times New Roman" w:hAnsi="Times New Roman" w:cs="Times New Roman"/>
          <w:b/>
          <w:bCs/>
          <w:color w:val="000000" w:themeColor="text1"/>
          <w:sz w:val="24"/>
          <w:szCs w:val="24"/>
          <w:lang w:val="ru-RU"/>
        </w:rPr>
        <w:t>3</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7400B" w14:textId="09F53874" w:rsidR="00486BCB" w:rsidRPr="00890764" w:rsidRDefault="008F6E8E" w:rsidP="00EA1CE7">
            <w:pPr>
              <w:spacing w:after="0" w:line="240" w:lineRule="auto"/>
              <w:jc w:val="both"/>
              <w:rPr>
                <w:rFonts w:ascii="Times New Roman" w:eastAsia="Times New Roman" w:hAnsi="Times New Roman" w:cs="Times New Roman"/>
                <w:b/>
                <w:bCs/>
                <w:color w:val="000000" w:themeColor="text1"/>
                <w:sz w:val="24"/>
                <w:szCs w:val="24"/>
                <w:lang w:val="uk-UA"/>
              </w:rPr>
            </w:pPr>
            <w:r w:rsidRPr="008F6E8E">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  М-19 </w:t>
            </w:r>
            <w:proofErr w:type="spellStart"/>
            <w:r w:rsidRPr="008F6E8E">
              <w:rPr>
                <w:rFonts w:ascii="Times New Roman" w:eastAsia="Times New Roman" w:hAnsi="Times New Roman" w:cs="Times New Roman"/>
                <w:b/>
                <w:bCs/>
                <w:color w:val="000000" w:themeColor="text1"/>
                <w:sz w:val="24"/>
                <w:szCs w:val="24"/>
                <w:lang w:val="uk-UA"/>
              </w:rPr>
              <w:t>Доманове</w:t>
            </w:r>
            <w:proofErr w:type="spellEnd"/>
            <w:r w:rsidRPr="008F6E8E">
              <w:rPr>
                <w:rFonts w:ascii="Times New Roman" w:eastAsia="Times New Roman" w:hAnsi="Times New Roman" w:cs="Times New Roman"/>
                <w:b/>
                <w:bCs/>
                <w:color w:val="000000" w:themeColor="text1"/>
                <w:sz w:val="24"/>
                <w:szCs w:val="24"/>
                <w:lang w:val="uk-UA"/>
              </w:rPr>
              <w:t xml:space="preserve"> (на </w:t>
            </w:r>
            <w:proofErr w:type="spellStart"/>
            <w:r w:rsidRPr="008F6E8E">
              <w:rPr>
                <w:rFonts w:ascii="Times New Roman" w:eastAsia="Times New Roman" w:hAnsi="Times New Roman" w:cs="Times New Roman"/>
                <w:b/>
                <w:bCs/>
                <w:color w:val="000000" w:themeColor="text1"/>
                <w:sz w:val="24"/>
                <w:szCs w:val="24"/>
                <w:lang w:val="uk-UA"/>
              </w:rPr>
              <w:t>м.Брест</w:t>
            </w:r>
            <w:proofErr w:type="spellEnd"/>
            <w:r w:rsidRPr="008F6E8E">
              <w:rPr>
                <w:rFonts w:ascii="Times New Roman" w:eastAsia="Times New Roman" w:hAnsi="Times New Roman" w:cs="Times New Roman"/>
                <w:b/>
                <w:bCs/>
                <w:color w:val="000000" w:themeColor="text1"/>
                <w:sz w:val="24"/>
                <w:szCs w:val="24"/>
                <w:lang w:val="uk-UA"/>
              </w:rPr>
              <w:t xml:space="preserve">) - Ковель - Чернівці - </w:t>
            </w:r>
            <w:proofErr w:type="spellStart"/>
            <w:r w:rsidRPr="008F6E8E">
              <w:rPr>
                <w:rFonts w:ascii="Times New Roman" w:eastAsia="Times New Roman" w:hAnsi="Times New Roman" w:cs="Times New Roman"/>
                <w:b/>
                <w:bCs/>
                <w:color w:val="000000" w:themeColor="text1"/>
                <w:sz w:val="24"/>
                <w:szCs w:val="24"/>
                <w:lang w:val="uk-UA"/>
              </w:rPr>
              <w:t>Тереблече</w:t>
            </w:r>
            <w:proofErr w:type="spellEnd"/>
            <w:r w:rsidRPr="008F6E8E">
              <w:rPr>
                <w:rFonts w:ascii="Times New Roman" w:eastAsia="Times New Roman" w:hAnsi="Times New Roman" w:cs="Times New Roman"/>
                <w:b/>
                <w:bCs/>
                <w:color w:val="000000" w:themeColor="text1"/>
                <w:sz w:val="24"/>
                <w:szCs w:val="24"/>
                <w:lang w:val="uk-UA"/>
              </w:rPr>
              <w:t xml:space="preserve"> (на </w:t>
            </w:r>
            <w:proofErr w:type="spellStart"/>
            <w:r w:rsidRPr="008F6E8E">
              <w:rPr>
                <w:rFonts w:ascii="Times New Roman" w:eastAsia="Times New Roman" w:hAnsi="Times New Roman" w:cs="Times New Roman"/>
                <w:b/>
                <w:bCs/>
                <w:color w:val="000000" w:themeColor="text1"/>
                <w:sz w:val="24"/>
                <w:szCs w:val="24"/>
                <w:lang w:val="uk-UA"/>
              </w:rPr>
              <w:t>м.Бухарест</w:t>
            </w:r>
            <w:proofErr w:type="spellEnd"/>
            <w:r w:rsidRPr="008F6E8E">
              <w:rPr>
                <w:rFonts w:ascii="Times New Roman" w:eastAsia="Times New Roman" w:hAnsi="Times New Roman" w:cs="Times New Roman"/>
                <w:b/>
                <w:bCs/>
                <w:color w:val="000000" w:themeColor="text1"/>
                <w:sz w:val="24"/>
                <w:szCs w:val="24"/>
                <w:lang w:val="uk-UA"/>
              </w:rPr>
              <w:t>) на ділянці км 404+577 у Тернопільській області) (ДК 021:2015: 79710000-4 – Охоронні послуги)</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39617F50"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r w:rsidR="004B5058" w:rsidRPr="004B5058">
              <w:rPr>
                <w:rFonts w:ascii="Times New Roman" w:eastAsia="Calibri" w:hAnsi="Times New Roman" w:cs="Times New Roman"/>
                <w:b/>
                <w:bCs/>
                <w:color w:val="000000" w:themeColor="text1"/>
                <w:sz w:val="24"/>
                <w:szCs w:val="24"/>
                <w:lang w:val="uk-UA" w:eastAsia="zh-CN"/>
              </w:rPr>
              <w:t xml:space="preserve">майданчик зважування в русі на автомобільній дорозі державного значення  М-19 </w:t>
            </w:r>
            <w:proofErr w:type="spellStart"/>
            <w:r w:rsidR="004B5058" w:rsidRPr="004B5058">
              <w:rPr>
                <w:rFonts w:ascii="Times New Roman" w:eastAsia="Calibri" w:hAnsi="Times New Roman" w:cs="Times New Roman"/>
                <w:b/>
                <w:bCs/>
                <w:color w:val="000000" w:themeColor="text1"/>
                <w:sz w:val="24"/>
                <w:szCs w:val="24"/>
                <w:lang w:val="uk-UA" w:eastAsia="zh-CN"/>
              </w:rPr>
              <w:t>Доманове</w:t>
            </w:r>
            <w:proofErr w:type="spellEnd"/>
            <w:r w:rsidR="004B5058" w:rsidRPr="004B5058">
              <w:rPr>
                <w:rFonts w:ascii="Times New Roman" w:eastAsia="Calibri" w:hAnsi="Times New Roman" w:cs="Times New Roman"/>
                <w:b/>
                <w:bCs/>
                <w:color w:val="000000" w:themeColor="text1"/>
                <w:sz w:val="24"/>
                <w:szCs w:val="24"/>
                <w:lang w:val="uk-UA" w:eastAsia="zh-CN"/>
              </w:rPr>
              <w:t xml:space="preserve"> (на </w:t>
            </w:r>
            <w:proofErr w:type="spellStart"/>
            <w:r w:rsidR="004B5058" w:rsidRPr="004B5058">
              <w:rPr>
                <w:rFonts w:ascii="Times New Roman" w:eastAsia="Calibri" w:hAnsi="Times New Roman" w:cs="Times New Roman"/>
                <w:b/>
                <w:bCs/>
                <w:color w:val="000000" w:themeColor="text1"/>
                <w:sz w:val="24"/>
                <w:szCs w:val="24"/>
                <w:lang w:val="uk-UA" w:eastAsia="zh-CN"/>
              </w:rPr>
              <w:t>м.Брест</w:t>
            </w:r>
            <w:proofErr w:type="spellEnd"/>
            <w:r w:rsidR="004B5058" w:rsidRPr="004B5058">
              <w:rPr>
                <w:rFonts w:ascii="Times New Roman" w:eastAsia="Calibri" w:hAnsi="Times New Roman" w:cs="Times New Roman"/>
                <w:b/>
                <w:bCs/>
                <w:color w:val="000000" w:themeColor="text1"/>
                <w:sz w:val="24"/>
                <w:szCs w:val="24"/>
                <w:lang w:val="uk-UA" w:eastAsia="zh-CN"/>
              </w:rPr>
              <w:t xml:space="preserve">) - Ковель - Чернівці - </w:t>
            </w:r>
            <w:proofErr w:type="spellStart"/>
            <w:r w:rsidR="004B5058" w:rsidRPr="004B5058">
              <w:rPr>
                <w:rFonts w:ascii="Times New Roman" w:eastAsia="Calibri" w:hAnsi="Times New Roman" w:cs="Times New Roman"/>
                <w:b/>
                <w:bCs/>
                <w:color w:val="000000" w:themeColor="text1"/>
                <w:sz w:val="24"/>
                <w:szCs w:val="24"/>
                <w:lang w:val="uk-UA" w:eastAsia="zh-CN"/>
              </w:rPr>
              <w:t>Тереблече</w:t>
            </w:r>
            <w:proofErr w:type="spellEnd"/>
            <w:r w:rsidR="004B5058" w:rsidRPr="004B5058">
              <w:rPr>
                <w:rFonts w:ascii="Times New Roman" w:eastAsia="Calibri" w:hAnsi="Times New Roman" w:cs="Times New Roman"/>
                <w:b/>
                <w:bCs/>
                <w:color w:val="000000" w:themeColor="text1"/>
                <w:sz w:val="24"/>
                <w:szCs w:val="24"/>
                <w:lang w:val="uk-UA" w:eastAsia="zh-CN"/>
              </w:rPr>
              <w:t xml:space="preserve"> (на </w:t>
            </w:r>
            <w:proofErr w:type="spellStart"/>
            <w:r w:rsidR="004B5058" w:rsidRPr="004B5058">
              <w:rPr>
                <w:rFonts w:ascii="Times New Roman" w:eastAsia="Calibri" w:hAnsi="Times New Roman" w:cs="Times New Roman"/>
                <w:b/>
                <w:bCs/>
                <w:color w:val="000000" w:themeColor="text1"/>
                <w:sz w:val="24"/>
                <w:szCs w:val="24"/>
                <w:lang w:val="uk-UA" w:eastAsia="zh-CN"/>
              </w:rPr>
              <w:t>м.Бухарест</w:t>
            </w:r>
            <w:proofErr w:type="spellEnd"/>
            <w:r w:rsidR="004B5058" w:rsidRPr="004B5058">
              <w:rPr>
                <w:rFonts w:ascii="Times New Roman" w:eastAsia="Calibri" w:hAnsi="Times New Roman" w:cs="Times New Roman"/>
                <w:b/>
                <w:bCs/>
                <w:color w:val="000000" w:themeColor="text1"/>
                <w:sz w:val="24"/>
                <w:szCs w:val="24"/>
                <w:lang w:val="uk-UA" w:eastAsia="zh-CN"/>
              </w:rPr>
              <w:t>) на ділянці км 404+577 у Тернопільській області</w:t>
            </w:r>
            <w:r w:rsidR="00DF3B7E" w:rsidRPr="00735A44">
              <w:rPr>
                <w:rFonts w:ascii="Times New Roman" w:eastAsia="Calibri" w:hAnsi="Times New Roman" w:cs="Times New Roman"/>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(Додаток</w:t>
            </w:r>
            <w:r w:rsidR="00DF3B7E" w:rsidRPr="00735A44">
              <w:rPr>
                <w:rFonts w:ascii="Times New Roman" w:eastAsia="Calibri" w:hAnsi="Times New Roman" w:cs="Times New Roman"/>
                <w:color w:val="000000" w:themeColor="text1"/>
                <w:sz w:val="24"/>
                <w:szCs w:val="24"/>
                <w:lang w:val="ru-RU" w:eastAsia="zh-CN"/>
              </w:rPr>
              <w:t> </w:t>
            </w:r>
            <w:r w:rsidR="00F0525C" w:rsidRPr="00735A44">
              <w:rPr>
                <w:rFonts w:ascii="Times New Roman" w:eastAsia="Calibri" w:hAnsi="Times New Roman" w:cs="Times New Roman"/>
                <w:color w:val="000000" w:themeColor="text1"/>
                <w:sz w:val="24"/>
                <w:szCs w:val="24"/>
                <w:lang w:val="uk-UA" w:eastAsia="zh-CN"/>
              </w:rPr>
              <w:t>2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43280794"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31</w:t>
            </w:r>
            <w:r w:rsidRPr="002B4596">
              <w:rPr>
                <w:rFonts w:ascii="Times New Roman" w:eastAsia="Times New Roman" w:hAnsi="Times New Roman" w:cs="Times New Roman"/>
                <w:b/>
                <w:bCs/>
                <w:color w:val="000000" w:themeColor="text1"/>
                <w:sz w:val="24"/>
                <w:szCs w:val="24"/>
              </w:rPr>
              <w:t>.</w:t>
            </w:r>
            <w:r w:rsidR="00FC4DF3" w:rsidRPr="002B4596">
              <w:rPr>
                <w:rFonts w:ascii="Times New Roman" w:eastAsia="Times New Roman" w:hAnsi="Times New Roman" w:cs="Times New Roman"/>
                <w:b/>
                <w:bCs/>
                <w:color w:val="000000" w:themeColor="text1"/>
                <w:sz w:val="24"/>
                <w:szCs w:val="24"/>
                <w:lang w:val="uk-UA"/>
              </w:rPr>
              <w:t>12</w:t>
            </w:r>
            <w:r w:rsidRPr="002B4596">
              <w:rPr>
                <w:rFonts w:ascii="Times New Roman" w:eastAsia="Times New Roman" w:hAnsi="Times New Roman" w:cs="Times New Roman"/>
                <w:b/>
                <w:bCs/>
                <w:color w:val="000000" w:themeColor="text1"/>
                <w:sz w:val="24"/>
                <w:szCs w:val="24"/>
              </w:rPr>
              <w:t>.202</w:t>
            </w:r>
            <w:r w:rsidR="00B35DE2">
              <w:rPr>
                <w:rFonts w:ascii="Times New Roman" w:eastAsia="Times New Roman" w:hAnsi="Times New Roman" w:cs="Times New Roman"/>
                <w:b/>
                <w:bCs/>
                <w:color w:val="000000" w:themeColor="text1"/>
                <w:sz w:val="24"/>
                <w:szCs w:val="24"/>
                <w:lang w:val="uk-UA"/>
              </w:rPr>
              <w:t>4</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у процедурах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0" w:name="n58"/>
            <w:bookmarkEnd w:id="0"/>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1" w:name="n59"/>
            <w:bookmarkEnd w:id="1"/>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2" w:name="n60"/>
            <w:bookmarkEnd w:id="2"/>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3" w:name="n61"/>
            <w:bookmarkEnd w:id="3"/>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пропозиції мають право подавати всі 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lastRenderedPageBreak/>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lastRenderedPageBreak/>
              <w:t xml:space="preserve">Усі документи тендерної пропозиції, що підготовлені безпосередньо Учасником повинні </w:t>
            </w:r>
            <w:r w:rsidRPr="00735A44">
              <w:rPr>
                <w:rFonts w:ascii="Times New Roman" w:eastAsia="Calibri" w:hAnsi="Times New Roman" w:cs="Times New Roman"/>
                <w:sz w:val="24"/>
                <w:szCs w:val="24"/>
                <w:lang w:val="uk-UA"/>
              </w:rPr>
              <w:lastRenderedPageBreak/>
              <w:t xml:space="preserve">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lastRenderedPageBreak/>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lastRenderedPageBreak/>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lastRenderedPageBreak/>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r w:rsidRPr="00735A44">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1DE36" w14:textId="10D1ACA1" w:rsidR="00522C66" w:rsidRPr="001605A8" w:rsidRDefault="001605A8" w:rsidP="001605A8">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Не вимагається. </w:t>
            </w: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не </w:t>
            </w:r>
            <w:proofErr w:type="spellStart"/>
            <w:r w:rsidRPr="00735A44">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B1EF9" w14:textId="6ED3639F" w:rsidR="00486BCB" w:rsidRPr="00735A44" w:rsidRDefault="00486BCB" w:rsidP="001605A8">
            <w:pPr>
              <w:shd w:val="clear" w:color="auto" w:fill="FFFFFF"/>
              <w:spacing w:after="150" w:line="240" w:lineRule="auto"/>
              <w:ind w:firstLine="450"/>
              <w:jc w:val="both"/>
              <w:rPr>
                <w:color w:val="000000"/>
                <w:lang w:val="ru-RU"/>
              </w:rPr>
            </w:pP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4" w:name="n117"/>
            <w:bookmarkEnd w:id="4"/>
            <w:r w:rsidRPr="00735A44">
              <w:rPr>
                <w:rFonts w:ascii="Times New Roman" w:eastAsia="Times New Roman" w:hAnsi="Times New Roman" w:cs="Times New Roman"/>
                <w:color w:val="000000"/>
                <w:sz w:val="24"/>
                <w:szCs w:val="24"/>
                <w:lang w:val="ru-RU"/>
              </w:rPr>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5" w:name="n118"/>
            <w:bookmarkEnd w:id="5"/>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6" w:name="n119"/>
            <w:bookmarkEnd w:id="6"/>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7" w:name="n120"/>
            <w:bookmarkEnd w:id="7"/>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lastRenderedPageBreak/>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5) фізична особа, яка є учасником процедури закупівлі, була засуджена за кримінальне </w:t>
            </w:r>
            <w:r w:rsidRPr="00060F25">
              <w:rPr>
                <w:rFonts w:ascii="Times New Roman" w:eastAsia="Times New Roman" w:hAnsi="Times New Roman" w:cs="Times New Roman"/>
                <w:color w:val="000000"/>
                <w:sz w:val="24"/>
                <w:szCs w:val="24"/>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w:t>
            </w:r>
            <w:r w:rsidRPr="00060F25">
              <w:rPr>
                <w:rFonts w:ascii="Times New Roman" w:eastAsia="Times New Roman" w:hAnsi="Times New Roman" w:cs="Times New Roman"/>
                <w:color w:val="000000"/>
                <w:sz w:val="24"/>
                <w:szCs w:val="24"/>
                <w:lang w:val="uk-UA"/>
              </w:rPr>
              <w:lastRenderedPageBreak/>
              <w:t>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2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 xml:space="preserve">Розрахунок вартості послуг (робіт) можна виконати із залученням інших матеріально-технічних ресурсів у відповідності до вимог чинних нормативних документів із коригуванням </w:t>
            </w:r>
            <w:r w:rsidRPr="00735A44">
              <w:rPr>
                <w:rFonts w:ascii="Times New Roman" w:eastAsia="Times New Roman" w:hAnsi="Times New Roman" w:cs="Times New Roman"/>
                <w:bCs/>
                <w:sz w:val="24"/>
                <w:szCs w:val="24"/>
                <w:lang w:val="uk-UA"/>
              </w:rPr>
              <w:lastRenderedPageBreak/>
              <w:t>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lastRenderedPageBreak/>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7777777"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12CC2D8E" w:rsidR="006F363E" w:rsidRPr="009152B3" w:rsidRDefault="009E76BE" w:rsidP="00486BCB">
            <w:pPr>
              <w:spacing w:after="0" w:line="240" w:lineRule="auto"/>
              <w:jc w:val="both"/>
              <w:rPr>
                <w:rFonts w:ascii="Times New Roman" w:hAnsi="Times New Roman" w:cs="Times New Roman"/>
                <w:b/>
                <w:color w:val="000000" w:themeColor="text1"/>
                <w:sz w:val="24"/>
                <w:szCs w:val="24"/>
                <w:highlight w:val="yellow"/>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4B5058" w:rsidRPr="00FB7F93">
              <w:rPr>
                <w:rFonts w:ascii="Times New Roman" w:hAnsi="Times New Roman" w:cs="Times New Roman"/>
                <w:b/>
                <w:color w:val="000000" w:themeColor="text1"/>
                <w:sz w:val="24"/>
                <w:szCs w:val="24"/>
                <w:lang w:val="uk-UA"/>
              </w:rPr>
              <w:t>2</w:t>
            </w:r>
            <w:r w:rsidR="00FB7F93" w:rsidRPr="00FB7F93">
              <w:rPr>
                <w:rFonts w:ascii="Times New Roman" w:hAnsi="Times New Roman" w:cs="Times New Roman"/>
                <w:b/>
                <w:color w:val="000000" w:themeColor="text1"/>
                <w:sz w:val="24"/>
                <w:szCs w:val="24"/>
                <w:lang w:val="uk-UA"/>
              </w:rPr>
              <w:t>3</w:t>
            </w:r>
            <w:r w:rsidR="00255DB9" w:rsidRPr="00FB7F93">
              <w:rPr>
                <w:rFonts w:ascii="Times New Roman" w:hAnsi="Times New Roman" w:cs="Times New Roman"/>
                <w:b/>
                <w:color w:val="000000" w:themeColor="text1"/>
                <w:sz w:val="24"/>
                <w:szCs w:val="24"/>
                <w:lang w:val="uk-UA"/>
              </w:rPr>
              <w:t xml:space="preserve"> </w:t>
            </w:r>
            <w:r w:rsidR="002A464C" w:rsidRPr="00FB7F93">
              <w:rPr>
                <w:rFonts w:ascii="Times New Roman" w:hAnsi="Times New Roman" w:cs="Times New Roman"/>
                <w:b/>
                <w:color w:val="000000" w:themeColor="text1"/>
                <w:sz w:val="24"/>
                <w:szCs w:val="24"/>
                <w:lang w:val="uk-UA"/>
              </w:rPr>
              <w:t>грудня</w:t>
            </w:r>
            <w:r w:rsidRPr="00FB7F93">
              <w:rPr>
                <w:rFonts w:ascii="Times New Roman" w:hAnsi="Times New Roman" w:cs="Times New Roman"/>
                <w:b/>
                <w:color w:val="000000" w:themeColor="text1"/>
                <w:sz w:val="24"/>
                <w:szCs w:val="24"/>
                <w:lang w:val="uk-UA"/>
              </w:rPr>
              <w:t xml:space="preserve"> 202</w:t>
            </w:r>
            <w:r w:rsidR="00590BB5" w:rsidRPr="00FB7F93">
              <w:rPr>
                <w:rFonts w:ascii="Times New Roman" w:hAnsi="Times New Roman" w:cs="Times New Roman"/>
                <w:b/>
                <w:color w:val="000000" w:themeColor="text1"/>
                <w:sz w:val="24"/>
                <w:szCs w:val="24"/>
                <w:lang w:val="uk-UA"/>
              </w:rPr>
              <w:t>3</w:t>
            </w:r>
            <w:r w:rsidRPr="00FB7F93">
              <w:rPr>
                <w:rFonts w:ascii="Times New Roman" w:hAnsi="Times New Roman" w:cs="Times New Roman"/>
                <w:b/>
                <w:color w:val="000000" w:themeColor="text1"/>
                <w:sz w:val="24"/>
                <w:szCs w:val="24"/>
                <w:lang w:val="uk-UA"/>
              </w:rPr>
              <w:t xml:space="preserve"> року</w:t>
            </w:r>
            <w:r w:rsidR="006F363E" w:rsidRPr="00FB7F93">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7C23F3">
        <w:trPr>
          <w:gridAfter w:val="1"/>
          <w:wAfter w:w="80" w:type="dxa"/>
          <w:trHeight w:val="112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w:t>
            </w:r>
            <w:r w:rsidRPr="00E60679">
              <w:rPr>
                <w:rFonts w:ascii="Times New Roman" w:eastAsia="Times New Roman" w:hAnsi="Times New Roman" w:cs="Times New Roman"/>
                <w:color w:val="000000"/>
                <w:sz w:val="24"/>
                <w:szCs w:val="24"/>
                <w:lang w:val="uk-UA"/>
              </w:rPr>
              <w:lastRenderedPageBreak/>
              <w:t>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77777777" w:rsidR="00154B63" w:rsidRPr="00735A44"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735A44">
              <w:rPr>
                <w:rFonts w:ascii="Times New Roman" w:eastAsia="Times New Roman" w:hAnsi="Times New Roman" w:cs="Times New Roman"/>
                <w:color w:val="000000"/>
                <w:sz w:val="24"/>
                <w:szCs w:val="24"/>
                <w:lang w:val="uk-UA"/>
              </w:rPr>
              <w:t>О</w:t>
            </w:r>
            <w:r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w:t>
            </w:r>
            <w:r w:rsidRPr="00735A44">
              <w:rPr>
                <w:rFonts w:ascii="Times New Roman" w:eastAsia="Times New Roman" w:hAnsi="Times New Roman" w:cs="Times New Roman"/>
                <w:color w:val="000000"/>
                <w:sz w:val="24"/>
                <w:szCs w:val="24"/>
                <w:lang w:val="uk-UA"/>
              </w:rPr>
              <w:lastRenderedPageBreak/>
              <w:t xml:space="preserve">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205433B2"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Ціна тендерної пропозиції учасника щодо проведення відповідних робіт повинна бути розрахована відповідно до вимог чинного законодавства</w:t>
            </w:r>
            <w:r w:rsidR="00FF3C45">
              <w:rPr>
                <w:rFonts w:ascii="Times New Roman" w:eastAsia="Times New Roman" w:hAnsi="Times New Roman" w:cs="Times New Roman"/>
                <w:color w:val="000000" w:themeColor="text1"/>
                <w:sz w:val="24"/>
                <w:szCs w:val="24"/>
                <w:lang w:val="uk-UA"/>
              </w:rPr>
              <w:t xml:space="preserve">, </w:t>
            </w:r>
            <w:r w:rsidR="00FF3C45" w:rsidRPr="00FF3C45">
              <w:rPr>
                <w:rFonts w:ascii="Times New Roman" w:eastAsia="Times New Roman" w:hAnsi="Times New Roman" w:cs="Times New Roman"/>
                <w:color w:val="000000" w:themeColor="text1"/>
                <w:sz w:val="24"/>
                <w:szCs w:val="24"/>
                <w:lang w:val="uk-UA"/>
              </w:rPr>
              <w:t xml:space="preserve">згідно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w:t>
            </w:r>
            <w:r w:rsidR="00FF3C45" w:rsidRPr="00FF3C45">
              <w:rPr>
                <w:rFonts w:ascii="Times New Roman" w:eastAsia="Times New Roman" w:hAnsi="Times New Roman" w:cs="Times New Roman"/>
                <w:color w:val="000000" w:themeColor="text1"/>
                <w:sz w:val="24"/>
                <w:szCs w:val="24"/>
                <w:lang w:val="uk-UA"/>
              </w:rPr>
              <w:lastRenderedPageBreak/>
              <w:t>утримання автомобільних доріг загального користування», затвердженої Наказом Міністерства інфраструктури України від 07.10.2022 року № 753.</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w:t>
            </w:r>
            <w:r w:rsidRPr="009E0C21">
              <w:rPr>
                <w:rFonts w:ascii="Times New Roman" w:eastAsia="Times New Roman" w:hAnsi="Times New Roman" w:cs="Times New Roman"/>
                <w:sz w:val="24"/>
                <w:szCs w:val="24"/>
                <w:lang w:val="uk-UA"/>
              </w:rPr>
              <w:lastRenderedPageBreak/>
              <w:t>до вимог пункту 40 особливостей;</w:t>
            </w:r>
          </w:p>
          <w:p w14:paraId="70644A1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0C21">
              <w:rPr>
                <w:rFonts w:ascii="Times New Roman" w:eastAsia="Times New Roman" w:hAnsi="Times New Roman" w:cs="Times New Roman"/>
                <w:sz w:val="24"/>
                <w:szCs w:val="24"/>
                <w:lang w:val="uk-UA"/>
              </w:rPr>
              <w:t>бенефіціарним</w:t>
            </w:r>
            <w:proofErr w:type="spellEnd"/>
            <w:r w:rsidRPr="009E0C2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9E0C21">
              <w:rPr>
                <w:rFonts w:ascii="Times New Roman" w:eastAsia="Times New Roman" w:hAnsi="Times New Roman" w:cs="Times New Roman"/>
                <w:bCs/>
                <w:sz w:val="24"/>
                <w:szCs w:val="24"/>
                <w:lang w:val="uk-UA"/>
              </w:rPr>
              <w:t>(далі — активи)</w:t>
            </w:r>
            <w:r w:rsidRPr="009E0C21">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0C21">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AF69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1"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w:t>
            </w:r>
            <w:r w:rsidRPr="009E0C21">
              <w:rPr>
                <w:rFonts w:ascii="Times New Roman" w:eastAsia="Times New Roman" w:hAnsi="Times New Roman" w:cs="Times New Roman"/>
                <w:sz w:val="24"/>
                <w:szCs w:val="24"/>
                <w:lang w:val="uk-UA"/>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 xml:space="preserve">Рішення про намір укласти договір про </w:t>
            </w:r>
            <w:r w:rsidR="009E0C21" w:rsidRPr="00735A44">
              <w:rPr>
                <w:rFonts w:ascii="Times New Roman" w:eastAsia="Times New Roman" w:hAnsi="Times New Roman" w:cs="Times New Roman"/>
                <w:color w:val="000000" w:themeColor="text1"/>
                <w:sz w:val="24"/>
                <w:szCs w:val="24"/>
                <w:lang w:val="uk-UA"/>
              </w:rPr>
              <w:lastRenderedPageBreak/>
              <w:t>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2"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w:t>
            </w:r>
            <w:r w:rsidRPr="009E0C21">
              <w:rPr>
                <w:rFonts w:ascii="Times New Roman" w:eastAsia="Times New Roman" w:hAnsi="Times New Roman" w:cs="Times New Roman"/>
                <w:color w:val="000000" w:themeColor="text1"/>
                <w:sz w:val="24"/>
                <w:szCs w:val="24"/>
                <w:lang w:val="uk-UA"/>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1.7. </w:t>
            </w:r>
            <w:r w:rsidR="00EB67A1" w:rsidRPr="00735A4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D2654" w14:textId="1BE59060" w:rsidR="00810BCA" w:rsidRPr="00735A44" w:rsidRDefault="00810BCA" w:rsidP="009714C8">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p w14:paraId="47CDBBFE" w14:textId="77777777" w:rsidR="0021093E" w:rsidRPr="00735A44" w:rsidRDefault="0021093E" w:rsidP="0021093E">
            <w:pPr>
              <w:spacing w:after="0" w:line="240" w:lineRule="auto"/>
              <w:ind w:firstLine="350"/>
              <w:jc w:val="both"/>
              <w:rPr>
                <w:rFonts w:ascii="Times New Roman" w:eastAsia="Times New Roman" w:hAnsi="Times New Roman" w:cs="Times New Roman"/>
                <w:sz w:val="24"/>
                <w:szCs w:val="24"/>
                <w:lang w:val="uk-UA"/>
              </w:rPr>
            </w:pP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lastRenderedPageBreak/>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3) скорочення обсягу видатків на здійснення </w:t>
            </w:r>
            <w:r w:rsidRPr="00EB67A1">
              <w:rPr>
                <w:rFonts w:ascii="Times New Roman" w:eastAsia="Times New Roman" w:hAnsi="Times New Roman" w:cs="Times New Roman"/>
                <w:color w:val="000000"/>
                <w:sz w:val="24"/>
                <w:szCs w:val="24"/>
                <w:lang w:val="uk-UA"/>
              </w:rPr>
              <w:lastRenderedPageBreak/>
              <w:t>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Відкриті торги автоматично відміняються 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 xml:space="preserve">вартість матеріальних </w:t>
            </w:r>
            <w:r w:rsidR="00E87B55" w:rsidRPr="00FC46E2">
              <w:rPr>
                <w:rFonts w:ascii="Times New Roman" w:hAnsi="Times New Roman"/>
                <w:color w:val="000000" w:themeColor="text1"/>
                <w:sz w:val="24"/>
                <w:szCs w:val="24"/>
                <w:lang w:val="uk-UA"/>
              </w:rPr>
              <w:lastRenderedPageBreak/>
              <w:t>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 xml:space="preserve">У разі внесення змін до істотних умов договору </w:t>
            </w:r>
            <w:r w:rsidRPr="00FB7C19">
              <w:rPr>
                <w:rFonts w:ascii="Times New Roman" w:eastAsia="Times New Roman" w:hAnsi="Times New Roman" w:cs="Times New Roman"/>
                <w:color w:val="000000"/>
                <w:sz w:val="24"/>
                <w:szCs w:val="24"/>
                <w:lang w:val="uk-UA"/>
              </w:rPr>
              <w:lastRenderedPageBreak/>
              <w:t>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вид, строк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повернення</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неповернення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виконання</w:t>
            </w:r>
            <w:proofErr w:type="spellEnd"/>
            <w:r w:rsidRPr="00735A44">
              <w:rPr>
                <w:rFonts w:ascii="Times New Roman" w:eastAsia="Times New Roman" w:hAnsi="Times New Roman" w:cs="Times New Roman"/>
                <w:b/>
                <w:bCs/>
                <w:color w:val="000000"/>
                <w:sz w:val="24"/>
                <w:szCs w:val="24"/>
                <w:lang w:val="ru-RU"/>
              </w:rPr>
              <w:t xml:space="preserve">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r w:rsidRPr="00735A44">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777B1" w14:textId="0BF3115A" w:rsidR="00486BCB" w:rsidRPr="001605A8" w:rsidRDefault="001605A8" w:rsidP="001E023D">
            <w:pPr>
              <w:shd w:val="clear" w:color="auto" w:fill="FFFFFF" w:themeFill="background1"/>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eastAsia="ar-SA"/>
              </w:rPr>
              <w:t>Не вимагається</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t>У складі тендерної пропозиції учасник повинен 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lastRenderedPageBreak/>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lastRenderedPageBreak/>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адреса:</w:t>
            </w:r>
            <w:r w:rsidR="00E463AD" w:rsidRPr="00735A44">
              <w:rPr>
                <w:rFonts w:ascii="Times New Roman" w:eastAsia="Times New Roman" w:hAnsi="Times New Roman" w:cs="Times New Roman"/>
                <w:color w:val="000000"/>
                <w:sz w:val="24"/>
                <w:szCs w:val="24"/>
                <w:lang w:val="uk-UA"/>
              </w:rPr>
              <w:t>;</w:t>
            </w:r>
          </w:p>
          <w:p w14:paraId="5331C3E3"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49C5B00A" w:rsidR="006A5645" w:rsidRPr="00735A44"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lastRenderedPageBreak/>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7C19" w:rsidRPr="00735A44">
              <w:rPr>
                <w:rFonts w:ascii="Times New Roman" w:eastAsia="Times New Roman" w:hAnsi="Times New Roman" w:cs="Times New Roman"/>
                <w:sz w:val="24"/>
                <w:szCs w:val="24"/>
                <w:lang w:val="uk-UA"/>
              </w:rPr>
              <w:t>бенефіціарним</w:t>
            </w:r>
            <w:proofErr w:type="spellEnd"/>
            <w:r w:rsidR="00FB7C19" w:rsidRPr="00735A44">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00FB7C19" w:rsidRPr="00735A44">
              <w:rPr>
                <w:rFonts w:ascii="Times New Roman" w:eastAsia="Times New Roman" w:hAnsi="Times New Roman" w:cs="Times New Roman"/>
                <w:bCs/>
                <w:sz w:val="24"/>
                <w:szCs w:val="24"/>
                <w:lang w:val="uk-UA"/>
              </w:rPr>
              <w:t>(далі — активи)</w:t>
            </w:r>
            <w:r w:rsidR="00FB7C19" w:rsidRPr="00735A44">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FB7C19" w:rsidRPr="00735A44">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7C19" w:rsidRPr="00735A44">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7C19" w:rsidRPr="00735A44">
              <w:rPr>
                <w:rFonts w:ascii="Times New Roman" w:eastAsia="Times New Roman" w:hAnsi="Times New Roman" w:cs="Times New Roman"/>
                <w:sz w:val="24"/>
                <w:szCs w:val="24"/>
                <w:lang w:val="uk-UA"/>
              </w:rPr>
              <w:t>закупівель</w:t>
            </w:r>
            <w:proofErr w:type="spellEnd"/>
            <w:r w:rsidR="00FB7C19" w:rsidRPr="00735A4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5"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w:t>
            </w:r>
            <w:r w:rsidRPr="00EB67A1">
              <w:rPr>
                <w:rFonts w:ascii="Times New Roman" w:hAnsi="Times New Roman" w:cs="Times New Roman"/>
                <w:color w:val="000000" w:themeColor="text1"/>
                <w:sz w:val="24"/>
                <w:szCs w:val="24"/>
              </w:rPr>
              <w:lastRenderedPageBreak/>
              <w:t xml:space="preserve">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1B55124" w14:textId="77777777" w:rsidR="00486BCB" w:rsidRDefault="00486BCB" w:rsidP="00486BCB">
            <w:pPr>
              <w:spacing w:after="0" w:line="240" w:lineRule="auto"/>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645A15B8" w14:textId="54A4EAB5" w:rsidR="00550A0B" w:rsidRPr="002B6174" w:rsidRDefault="00550A0B" w:rsidP="00550A0B">
            <w:pPr>
              <w:spacing w:after="0" w:line="240" w:lineRule="auto"/>
              <w:rPr>
                <w:rFonts w:ascii="Times New Roman" w:eastAsia="Times New Roman" w:hAnsi="Times New Roman" w:cs="Times New Roman"/>
                <w:b/>
                <w:bCs/>
                <w:color w:val="000000"/>
                <w:sz w:val="24"/>
                <w:szCs w:val="24"/>
                <w:lang w:val="uk-UA"/>
              </w:rPr>
            </w:pP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lastRenderedPageBreak/>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6"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Особливостями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D2C6"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lastRenderedPageBreak/>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E4E1"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8" w:name="_heading=h.gjdgxs"/>
      <w:bookmarkEnd w:id="8"/>
    </w:p>
    <w:sectPr w:rsidR="00860E47" w:rsidRPr="00AC6747" w:rsidSect="000F27E6">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AB51" w14:textId="77777777" w:rsidR="00FD25B8" w:rsidRDefault="00FD25B8" w:rsidP="002B08A9">
      <w:pPr>
        <w:spacing w:after="0" w:line="240" w:lineRule="auto"/>
      </w:pPr>
      <w:r>
        <w:separator/>
      </w:r>
    </w:p>
  </w:endnote>
  <w:endnote w:type="continuationSeparator" w:id="0">
    <w:p w14:paraId="62D34B3B" w14:textId="77777777" w:rsidR="00FD25B8" w:rsidRDefault="00FD25B8"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C438" w14:textId="77777777" w:rsidR="00FD25B8" w:rsidRDefault="00FD25B8" w:rsidP="002B08A9">
      <w:pPr>
        <w:spacing w:after="0" w:line="240" w:lineRule="auto"/>
      </w:pPr>
      <w:r>
        <w:separator/>
      </w:r>
    </w:p>
  </w:footnote>
  <w:footnote w:type="continuationSeparator" w:id="0">
    <w:p w14:paraId="3CC97462" w14:textId="77777777" w:rsidR="00FD25B8" w:rsidRDefault="00FD25B8"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32399"/>
    <w:rsid w:val="00032EC9"/>
    <w:rsid w:val="00046F6C"/>
    <w:rsid w:val="0005193E"/>
    <w:rsid w:val="0006017B"/>
    <w:rsid w:val="00060F25"/>
    <w:rsid w:val="00062A25"/>
    <w:rsid w:val="00077AEB"/>
    <w:rsid w:val="000805EB"/>
    <w:rsid w:val="0008578A"/>
    <w:rsid w:val="000948C6"/>
    <w:rsid w:val="0009552C"/>
    <w:rsid w:val="00096A3A"/>
    <w:rsid w:val="000A3065"/>
    <w:rsid w:val="000A7E2F"/>
    <w:rsid w:val="000D3D4C"/>
    <w:rsid w:val="000D7347"/>
    <w:rsid w:val="000D7C8E"/>
    <w:rsid w:val="000F1C73"/>
    <w:rsid w:val="000F27E6"/>
    <w:rsid w:val="0010105D"/>
    <w:rsid w:val="00101306"/>
    <w:rsid w:val="00116F1E"/>
    <w:rsid w:val="0011790D"/>
    <w:rsid w:val="00126FBB"/>
    <w:rsid w:val="00135411"/>
    <w:rsid w:val="00141E09"/>
    <w:rsid w:val="00154B63"/>
    <w:rsid w:val="001605A8"/>
    <w:rsid w:val="00164205"/>
    <w:rsid w:val="00166E01"/>
    <w:rsid w:val="001714C7"/>
    <w:rsid w:val="00175C3F"/>
    <w:rsid w:val="00180026"/>
    <w:rsid w:val="00185264"/>
    <w:rsid w:val="00195ED9"/>
    <w:rsid w:val="001C7C8C"/>
    <w:rsid w:val="001D0784"/>
    <w:rsid w:val="001D7A32"/>
    <w:rsid w:val="001E023D"/>
    <w:rsid w:val="001E64D4"/>
    <w:rsid w:val="001F42CD"/>
    <w:rsid w:val="0020319C"/>
    <w:rsid w:val="0021093E"/>
    <w:rsid w:val="0022256A"/>
    <w:rsid w:val="0023105E"/>
    <w:rsid w:val="002555FB"/>
    <w:rsid w:val="00255DB9"/>
    <w:rsid w:val="00260530"/>
    <w:rsid w:val="00280099"/>
    <w:rsid w:val="002802F3"/>
    <w:rsid w:val="002805E1"/>
    <w:rsid w:val="00280C6D"/>
    <w:rsid w:val="00284898"/>
    <w:rsid w:val="00291894"/>
    <w:rsid w:val="002959D7"/>
    <w:rsid w:val="002A3177"/>
    <w:rsid w:val="002A464C"/>
    <w:rsid w:val="002B08A9"/>
    <w:rsid w:val="002B1E43"/>
    <w:rsid w:val="002B4596"/>
    <w:rsid w:val="002B6174"/>
    <w:rsid w:val="002C0530"/>
    <w:rsid w:val="002C4E28"/>
    <w:rsid w:val="002D7535"/>
    <w:rsid w:val="002E5931"/>
    <w:rsid w:val="002E7AD3"/>
    <w:rsid w:val="002F3F89"/>
    <w:rsid w:val="00300A1E"/>
    <w:rsid w:val="003171CF"/>
    <w:rsid w:val="003217DF"/>
    <w:rsid w:val="003322EF"/>
    <w:rsid w:val="00347D5F"/>
    <w:rsid w:val="0038230E"/>
    <w:rsid w:val="00390E30"/>
    <w:rsid w:val="00391B1E"/>
    <w:rsid w:val="00392687"/>
    <w:rsid w:val="00397030"/>
    <w:rsid w:val="003C53BE"/>
    <w:rsid w:val="003D6736"/>
    <w:rsid w:val="003E0F4B"/>
    <w:rsid w:val="003E146D"/>
    <w:rsid w:val="003E3DE9"/>
    <w:rsid w:val="003F4F7C"/>
    <w:rsid w:val="00404E89"/>
    <w:rsid w:val="00417DCD"/>
    <w:rsid w:val="004227F5"/>
    <w:rsid w:val="0043709A"/>
    <w:rsid w:val="00441AA7"/>
    <w:rsid w:val="004430BB"/>
    <w:rsid w:val="004443D2"/>
    <w:rsid w:val="0044489F"/>
    <w:rsid w:val="00457960"/>
    <w:rsid w:val="00470DA6"/>
    <w:rsid w:val="00474DB0"/>
    <w:rsid w:val="00476077"/>
    <w:rsid w:val="0047662F"/>
    <w:rsid w:val="00486BCB"/>
    <w:rsid w:val="00497ECA"/>
    <w:rsid w:val="004A1DBC"/>
    <w:rsid w:val="004A26E1"/>
    <w:rsid w:val="004A7F5E"/>
    <w:rsid w:val="004B36C4"/>
    <w:rsid w:val="004B5058"/>
    <w:rsid w:val="004C03DE"/>
    <w:rsid w:val="004E0F05"/>
    <w:rsid w:val="004E1EAC"/>
    <w:rsid w:val="004F7615"/>
    <w:rsid w:val="005125F0"/>
    <w:rsid w:val="00522C66"/>
    <w:rsid w:val="0052627A"/>
    <w:rsid w:val="0053169A"/>
    <w:rsid w:val="00536A95"/>
    <w:rsid w:val="00537B41"/>
    <w:rsid w:val="00537C9B"/>
    <w:rsid w:val="00550A0B"/>
    <w:rsid w:val="0056338A"/>
    <w:rsid w:val="00566536"/>
    <w:rsid w:val="0057077C"/>
    <w:rsid w:val="00572205"/>
    <w:rsid w:val="00575C5F"/>
    <w:rsid w:val="00583F4E"/>
    <w:rsid w:val="005909EF"/>
    <w:rsid w:val="00590BB5"/>
    <w:rsid w:val="005A4DE5"/>
    <w:rsid w:val="005B79CA"/>
    <w:rsid w:val="005D37D1"/>
    <w:rsid w:val="005E2342"/>
    <w:rsid w:val="005E4339"/>
    <w:rsid w:val="005E6938"/>
    <w:rsid w:val="00606C4A"/>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9733E"/>
    <w:rsid w:val="006A5645"/>
    <w:rsid w:val="006A7647"/>
    <w:rsid w:val="006A785E"/>
    <w:rsid w:val="006A7C7D"/>
    <w:rsid w:val="006B0CA2"/>
    <w:rsid w:val="006C6C11"/>
    <w:rsid w:val="006D1124"/>
    <w:rsid w:val="006D57FC"/>
    <w:rsid w:val="006E20E2"/>
    <w:rsid w:val="006E7206"/>
    <w:rsid w:val="006F1366"/>
    <w:rsid w:val="006F363E"/>
    <w:rsid w:val="007010FC"/>
    <w:rsid w:val="00717AC6"/>
    <w:rsid w:val="0073562F"/>
    <w:rsid w:val="00735A44"/>
    <w:rsid w:val="00750A0D"/>
    <w:rsid w:val="00763DE6"/>
    <w:rsid w:val="00764D82"/>
    <w:rsid w:val="00766956"/>
    <w:rsid w:val="00771B35"/>
    <w:rsid w:val="0077536A"/>
    <w:rsid w:val="00780CAF"/>
    <w:rsid w:val="007833AA"/>
    <w:rsid w:val="00793451"/>
    <w:rsid w:val="00796A32"/>
    <w:rsid w:val="007A670C"/>
    <w:rsid w:val="007B08A8"/>
    <w:rsid w:val="007B4985"/>
    <w:rsid w:val="007C23F3"/>
    <w:rsid w:val="007C46EC"/>
    <w:rsid w:val="007C744E"/>
    <w:rsid w:val="007D55C2"/>
    <w:rsid w:val="007E0EBB"/>
    <w:rsid w:val="007E2277"/>
    <w:rsid w:val="007F7DFA"/>
    <w:rsid w:val="00800BC7"/>
    <w:rsid w:val="008026A1"/>
    <w:rsid w:val="00805023"/>
    <w:rsid w:val="00806684"/>
    <w:rsid w:val="00810BCA"/>
    <w:rsid w:val="0081629A"/>
    <w:rsid w:val="0082629E"/>
    <w:rsid w:val="00860A78"/>
    <w:rsid w:val="00860E47"/>
    <w:rsid w:val="00861808"/>
    <w:rsid w:val="00862E30"/>
    <w:rsid w:val="00864970"/>
    <w:rsid w:val="00890764"/>
    <w:rsid w:val="00897345"/>
    <w:rsid w:val="008A2D0B"/>
    <w:rsid w:val="008A427E"/>
    <w:rsid w:val="008B310C"/>
    <w:rsid w:val="008B55EF"/>
    <w:rsid w:val="008C41A7"/>
    <w:rsid w:val="008E673D"/>
    <w:rsid w:val="008E7D5F"/>
    <w:rsid w:val="008F19C2"/>
    <w:rsid w:val="008F2292"/>
    <w:rsid w:val="008F5E7E"/>
    <w:rsid w:val="008F6086"/>
    <w:rsid w:val="008F6E8E"/>
    <w:rsid w:val="008F767F"/>
    <w:rsid w:val="00906DBE"/>
    <w:rsid w:val="00914009"/>
    <w:rsid w:val="009152B3"/>
    <w:rsid w:val="0092234A"/>
    <w:rsid w:val="00922403"/>
    <w:rsid w:val="00931112"/>
    <w:rsid w:val="00931EC2"/>
    <w:rsid w:val="0094639C"/>
    <w:rsid w:val="00951F7D"/>
    <w:rsid w:val="00953ACE"/>
    <w:rsid w:val="00954D65"/>
    <w:rsid w:val="00955E57"/>
    <w:rsid w:val="009714C8"/>
    <w:rsid w:val="00973982"/>
    <w:rsid w:val="009757BA"/>
    <w:rsid w:val="009831EF"/>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80E90"/>
    <w:rsid w:val="00A93EAA"/>
    <w:rsid w:val="00A97AC1"/>
    <w:rsid w:val="00AA4270"/>
    <w:rsid w:val="00AB3611"/>
    <w:rsid w:val="00AB3B43"/>
    <w:rsid w:val="00AB5CAD"/>
    <w:rsid w:val="00AC0311"/>
    <w:rsid w:val="00AC3A8C"/>
    <w:rsid w:val="00AC3FC3"/>
    <w:rsid w:val="00AC6747"/>
    <w:rsid w:val="00AD2040"/>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60C9E"/>
    <w:rsid w:val="00B62216"/>
    <w:rsid w:val="00B70FDE"/>
    <w:rsid w:val="00B81B01"/>
    <w:rsid w:val="00B9149E"/>
    <w:rsid w:val="00BA3ED9"/>
    <w:rsid w:val="00BB19D0"/>
    <w:rsid w:val="00BB3B8B"/>
    <w:rsid w:val="00BB4AE1"/>
    <w:rsid w:val="00BB5861"/>
    <w:rsid w:val="00BD0EBE"/>
    <w:rsid w:val="00BD5916"/>
    <w:rsid w:val="00BE0152"/>
    <w:rsid w:val="00BE234D"/>
    <w:rsid w:val="00BE69C4"/>
    <w:rsid w:val="00BF2DB4"/>
    <w:rsid w:val="00BF49A7"/>
    <w:rsid w:val="00C06868"/>
    <w:rsid w:val="00C20CD1"/>
    <w:rsid w:val="00C20EF2"/>
    <w:rsid w:val="00C23D49"/>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E3F"/>
    <w:rsid w:val="00CE1B08"/>
    <w:rsid w:val="00CF08FD"/>
    <w:rsid w:val="00D02587"/>
    <w:rsid w:val="00D05271"/>
    <w:rsid w:val="00D20E77"/>
    <w:rsid w:val="00D21355"/>
    <w:rsid w:val="00D25C04"/>
    <w:rsid w:val="00D27A55"/>
    <w:rsid w:val="00D3562A"/>
    <w:rsid w:val="00D47629"/>
    <w:rsid w:val="00D51800"/>
    <w:rsid w:val="00D52F67"/>
    <w:rsid w:val="00D610FC"/>
    <w:rsid w:val="00D64651"/>
    <w:rsid w:val="00D713D7"/>
    <w:rsid w:val="00D72942"/>
    <w:rsid w:val="00D73219"/>
    <w:rsid w:val="00D74E44"/>
    <w:rsid w:val="00D87574"/>
    <w:rsid w:val="00D9501A"/>
    <w:rsid w:val="00D950D1"/>
    <w:rsid w:val="00D9608C"/>
    <w:rsid w:val="00DA2F30"/>
    <w:rsid w:val="00DA516B"/>
    <w:rsid w:val="00DA5D1C"/>
    <w:rsid w:val="00DC0D63"/>
    <w:rsid w:val="00DC37D9"/>
    <w:rsid w:val="00DC7C95"/>
    <w:rsid w:val="00DE07DB"/>
    <w:rsid w:val="00DF3B7E"/>
    <w:rsid w:val="00DF74D5"/>
    <w:rsid w:val="00E052F1"/>
    <w:rsid w:val="00E14639"/>
    <w:rsid w:val="00E30A26"/>
    <w:rsid w:val="00E463AD"/>
    <w:rsid w:val="00E54D65"/>
    <w:rsid w:val="00E55248"/>
    <w:rsid w:val="00E60679"/>
    <w:rsid w:val="00E740D8"/>
    <w:rsid w:val="00E7601A"/>
    <w:rsid w:val="00E80AEC"/>
    <w:rsid w:val="00E860B8"/>
    <w:rsid w:val="00E87B55"/>
    <w:rsid w:val="00E90A56"/>
    <w:rsid w:val="00E910CB"/>
    <w:rsid w:val="00EA1A3E"/>
    <w:rsid w:val="00EA1CE7"/>
    <w:rsid w:val="00EA5F5B"/>
    <w:rsid w:val="00EB67A1"/>
    <w:rsid w:val="00EB6DD2"/>
    <w:rsid w:val="00EB7EFB"/>
    <w:rsid w:val="00EC33EA"/>
    <w:rsid w:val="00EC4436"/>
    <w:rsid w:val="00EE1A4D"/>
    <w:rsid w:val="00EF1157"/>
    <w:rsid w:val="00EF268F"/>
    <w:rsid w:val="00EF2921"/>
    <w:rsid w:val="00EF5027"/>
    <w:rsid w:val="00F0525C"/>
    <w:rsid w:val="00F079B1"/>
    <w:rsid w:val="00F11962"/>
    <w:rsid w:val="00F11E55"/>
    <w:rsid w:val="00F2112B"/>
    <w:rsid w:val="00F42847"/>
    <w:rsid w:val="00F437D9"/>
    <w:rsid w:val="00F77372"/>
    <w:rsid w:val="00F905E2"/>
    <w:rsid w:val="00F95C69"/>
    <w:rsid w:val="00FA4B89"/>
    <w:rsid w:val="00FB0973"/>
    <w:rsid w:val="00FB2E75"/>
    <w:rsid w:val="00FB5BDB"/>
    <w:rsid w:val="00FB7C19"/>
    <w:rsid w:val="00FB7C45"/>
    <w:rsid w:val="00FB7F93"/>
    <w:rsid w:val="00FC46E2"/>
    <w:rsid w:val="00FC4DF3"/>
    <w:rsid w:val="00FD20FE"/>
    <w:rsid w:val="00FD25B8"/>
    <w:rsid w:val="00FD2831"/>
    <w:rsid w:val="00FE04FD"/>
    <w:rsid w:val="00FE08A1"/>
    <w:rsid w:val="00FE20DC"/>
    <w:rsid w:val="00FF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1</Pages>
  <Words>11158</Words>
  <Characters>63605</Characters>
  <Application>Microsoft Office Word</Application>
  <DocSecurity>0</DocSecurity>
  <Lines>530</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194</cp:revision>
  <cp:lastPrinted>2022-09-13T12:51:00Z</cp:lastPrinted>
  <dcterms:created xsi:type="dcterms:W3CDTF">2020-05-04T17:17:00Z</dcterms:created>
  <dcterms:modified xsi:type="dcterms:W3CDTF">2023-12-15T12:39:00Z</dcterms:modified>
</cp:coreProperties>
</file>