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B4" w:rsidRPr="00586F56" w:rsidRDefault="00FC0BB4" w:rsidP="000F76DA">
      <w:pPr>
        <w:spacing w:after="0" w:line="240" w:lineRule="auto"/>
        <w:jc w:val="center"/>
        <w:rPr>
          <w:rFonts w:ascii="Times New Roman" w:hAnsi="Times New Roman"/>
          <w:b/>
          <w:color w:val="000000"/>
          <w:sz w:val="28"/>
          <w:szCs w:val="28"/>
          <w:lang w:val="uk-UA"/>
        </w:rPr>
      </w:pPr>
      <w:r w:rsidRPr="00586F56">
        <w:rPr>
          <w:rFonts w:ascii="Times New Roman" w:hAnsi="Times New Roman"/>
          <w:b/>
          <w:color w:val="000000"/>
          <w:sz w:val="28"/>
          <w:szCs w:val="28"/>
          <w:lang w:val="uk-UA"/>
        </w:rPr>
        <w:t>ОГОЛОШЕННЯ</w:t>
      </w:r>
    </w:p>
    <w:p w:rsidR="00FC0BB4" w:rsidRPr="00F242D9" w:rsidRDefault="000F76DA" w:rsidP="000F76DA">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r w:rsidR="00FC0BB4" w:rsidRPr="00586F56">
        <w:rPr>
          <w:rFonts w:ascii="Times New Roman" w:hAnsi="Times New Roman"/>
          <w:b/>
          <w:color w:val="000000"/>
          <w:sz w:val="28"/>
          <w:szCs w:val="28"/>
          <w:lang w:val="uk-UA"/>
        </w:rPr>
        <w:t xml:space="preserve">про проведення відкритих торгів </w:t>
      </w:r>
      <w:r w:rsidR="00FC0BB4">
        <w:rPr>
          <w:rFonts w:ascii="Times New Roman" w:hAnsi="Times New Roman"/>
          <w:b/>
          <w:color w:val="000000"/>
          <w:sz w:val="28"/>
          <w:szCs w:val="28"/>
          <w:lang w:val="uk-UA"/>
        </w:rPr>
        <w:t xml:space="preserve"> </w:t>
      </w:r>
      <w:r w:rsidR="00402A38">
        <w:rPr>
          <w:rFonts w:ascii="Times New Roman" w:hAnsi="Times New Roman"/>
          <w:b/>
          <w:color w:val="000000"/>
          <w:sz w:val="28"/>
          <w:szCs w:val="28"/>
          <w:lang w:val="uk-UA"/>
        </w:rPr>
        <w:t>(зі змінами</w:t>
      </w:r>
      <w:r w:rsidR="00FC0BB4">
        <w:rPr>
          <w:rFonts w:ascii="Times New Roman" w:hAnsi="Times New Roman"/>
          <w:b/>
          <w:color w:val="000000"/>
          <w:sz w:val="28"/>
          <w:szCs w:val="28"/>
          <w:lang w:val="uk-UA"/>
        </w:rPr>
        <w:t xml:space="preserve">                     </w:t>
      </w:r>
      <w:r w:rsidR="00402A38">
        <w:rPr>
          <w:rFonts w:ascii="Times New Roman" w:hAnsi="Times New Roman"/>
          <w:b/>
          <w:color w:val="000000"/>
          <w:sz w:val="28"/>
          <w:szCs w:val="28"/>
          <w:lang w:val="uk-UA"/>
        </w:rPr>
        <w:t>01</w:t>
      </w:r>
      <w:r w:rsidR="00FC0BB4">
        <w:rPr>
          <w:rFonts w:ascii="Times New Roman" w:hAnsi="Times New Roman"/>
          <w:b/>
          <w:color w:val="000000"/>
          <w:sz w:val="28"/>
          <w:szCs w:val="28"/>
          <w:lang w:val="uk-UA"/>
        </w:rPr>
        <w:t>.</w:t>
      </w:r>
      <w:r w:rsidR="00C644C6" w:rsidRPr="004845BE">
        <w:rPr>
          <w:rFonts w:ascii="Times New Roman" w:hAnsi="Times New Roman"/>
          <w:b/>
          <w:color w:val="000000"/>
          <w:sz w:val="28"/>
          <w:szCs w:val="28"/>
        </w:rPr>
        <w:t>0</w:t>
      </w:r>
      <w:r w:rsidR="00402A38">
        <w:rPr>
          <w:rFonts w:ascii="Times New Roman" w:hAnsi="Times New Roman"/>
          <w:b/>
          <w:color w:val="000000"/>
          <w:sz w:val="28"/>
          <w:szCs w:val="28"/>
          <w:lang w:val="uk-UA"/>
        </w:rPr>
        <w:t>3</w:t>
      </w:r>
      <w:r w:rsidR="00FC0BB4">
        <w:rPr>
          <w:rFonts w:ascii="Times New Roman" w:hAnsi="Times New Roman"/>
          <w:b/>
          <w:color w:val="000000"/>
          <w:sz w:val="28"/>
          <w:szCs w:val="28"/>
          <w:lang w:val="uk-UA"/>
        </w:rPr>
        <w:t>.</w:t>
      </w:r>
      <w:r w:rsidRPr="00C26D4B">
        <w:rPr>
          <w:rFonts w:ascii="Times New Roman" w:hAnsi="Times New Roman"/>
          <w:b/>
          <w:color w:val="000000"/>
          <w:sz w:val="28"/>
          <w:szCs w:val="28"/>
        </w:rPr>
        <w:t>202</w:t>
      </w:r>
      <w:r w:rsidR="00C644C6" w:rsidRPr="004845BE">
        <w:rPr>
          <w:rFonts w:ascii="Times New Roman" w:hAnsi="Times New Roman"/>
          <w:b/>
          <w:color w:val="000000"/>
          <w:sz w:val="28"/>
          <w:szCs w:val="28"/>
        </w:rPr>
        <w:t>4</w:t>
      </w:r>
      <w:r w:rsidR="00F242D9">
        <w:rPr>
          <w:rFonts w:ascii="Times New Roman" w:hAnsi="Times New Roman"/>
          <w:b/>
          <w:color w:val="000000"/>
          <w:sz w:val="28"/>
          <w:szCs w:val="28"/>
          <w:lang w:val="uk-UA"/>
        </w:rPr>
        <w:t>)                                                                            28.02.2024</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37"/>
        <w:gridCol w:w="3232"/>
        <w:gridCol w:w="67"/>
        <w:gridCol w:w="5918"/>
      </w:tblGrid>
      <w:tr w:rsidR="00C26D4B"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1.</w:t>
            </w:r>
          </w:p>
        </w:tc>
        <w:tc>
          <w:tcPr>
            <w:tcW w:w="3299" w:type="dxa"/>
            <w:gridSpan w:val="2"/>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5918" w:type="dxa"/>
            <w:tcBorders>
              <w:top w:val="double" w:sz="4" w:space="0" w:color="auto"/>
              <w:left w:val="double" w:sz="4" w:space="0" w:color="auto"/>
              <w:bottom w:val="double" w:sz="4" w:space="0" w:color="auto"/>
              <w:right w:val="double" w:sz="4" w:space="0" w:color="auto"/>
            </w:tcBorders>
            <w:hideMark/>
          </w:tcPr>
          <w:p w:rsidR="00C26D4B" w:rsidRPr="00287216" w:rsidRDefault="00C26D4B" w:rsidP="00896CE4">
            <w:pPr>
              <w:pStyle w:val="200"/>
              <w:spacing w:after="0"/>
              <w:jc w:val="both"/>
              <w:rPr>
                <w:color w:val="000000"/>
                <w:sz w:val="28"/>
                <w:szCs w:val="28"/>
                <w:lang w:val="uk-UA"/>
              </w:rPr>
            </w:pPr>
            <w:r w:rsidRPr="00287216">
              <w:rPr>
                <w:color w:val="000000"/>
                <w:sz w:val="28"/>
                <w:szCs w:val="28"/>
                <w:lang w:val="uk-UA"/>
              </w:rPr>
              <w:t>Державна податкова служба України Головне управління ДПС у Тернопільській області (філія ДПС)</w:t>
            </w:r>
          </w:p>
          <w:p w:rsidR="00C26D4B" w:rsidRPr="00287216" w:rsidRDefault="00C26D4B" w:rsidP="00896CE4">
            <w:pPr>
              <w:pStyle w:val="200"/>
              <w:spacing w:after="0"/>
              <w:jc w:val="both"/>
              <w:rPr>
                <w:color w:val="000000"/>
                <w:sz w:val="28"/>
                <w:szCs w:val="28"/>
                <w:lang w:val="uk-UA"/>
              </w:rPr>
            </w:pPr>
            <w:r w:rsidRPr="00287216">
              <w:rPr>
                <w:color w:val="000000"/>
                <w:sz w:val="28"/>
                <w:szCs w:val="28"/>
                <w:lang w:val="uk-UA"/>
              </w:rPr>
              <w:t xml:space="preserve">46003, м. Тернопіль, вул. </w:t>
            </w:r>
            <w:proofErr w:type="spellStart"/>
            <w:r w:rsidRPr="00287216">
              <w:rPr>
                <w:color w:val="000000"/>
                <w:sz w:val="28"/>
                <w:szCs w:val="28"/>
                <w:lang w:val="uk-UA"/>
              </w:rPr>
              <w:t>Білецька</w:t>
            </w:r>
            <w:proofErr w:type="spellEnd"/>
            <w:r w:rsidRPr="00287216">
              <w:rPr>
                <w:color w:val="000000"/>
                <w:sz w:val="28"/>
                <w:szCs w:val="28"/>
                <w:lang w:val="uk-UA"/>
              </w:rPr>
              <w:t>, 1</w:t>
            </w:r>
          </w:p>
          <w:p w:rsidR="00C26D4B" w:rsidRPr="00287216" w:rsidRDefault="00C26D4B" w:rsidP="00896CE4">
            <w:pPr>
              <w:pStyle w:val="200"/>
              <w:spacing w:after="0"/>
              <w:jc w:val="both"/>
              <w:rPr>
                <w:color w:val="000000"/>
                <w:sz w:val="28"/>
                <w:szCs w:val="28"/>
                <w:lang w:val="uk-UA"/>
              </w:rPr>
            </w:pPr>
            <w:r w:rsidRPr="00287216">
              <w:rPr>
                <w:color w:val="000000"/>
                <w:sz w:val="28"/>
                <w:szCs w:val="28"/>
                <w:lang w:val="uk-UA"/>
              </w:rPr>
              <w:t>Код ЄДРПОУ ВП  44143637</w:t>
            </w:r>
          </w:p>
          <w:p w:rsidR="00C26D4B" w:rsidRPr="00586F56" w:rsidRDefault="00C26D4B" w:rsidP="00385D7F">
            <w:pPr>
              <w:pStyle w:val="a4"/>
              <w:spacing w:before="120" w:beforeAutospacing="0" w:after="0" w:afterAutospacing="0"/>
              <w:jc w:val="both"/>
              <w:rPr>
                <w:color w:val="000000"/>
                <w:sz w:val="28"/>
                <w:szCs w:val="28"/>
              </w:rPr>
            </w:pPr>
            <w:r w:rsidRPr="00287216">
              <w:rPr>
                <w:color w:val="000000"/>
                <w:sz w:val="28"/>
                <w:szCs w:val="28"/>
              </w:rPr>
              <w:t>Категорія Замовника згідно з п.</w:t>
            </w:r>
            <w:r w:rsidR="00385D7F">
              <w:rPr>
                <w:color w:val="000000"/>
                <w:sz w:val="28"/>
                <w:szCs w:val="28"/>
              </w:rPr>
              <w:t>1</w:t>
            </w:r>
            <w:r w:rsidRPr="00287216">
              <w:rPr>
                <w:color w:val="000000"/>
                <w:sz w:val="28"/>
                <w:szCs w:val="28"/>
              </w:rPr>
              <w:t>, ч.</w:t>
            </w:r>
            <w:r w:rsidR="00385D7F">
              <w:rPr>
                <w:color w:val="000000"/>
                <w:sz w:val="28"/>
                <w:szCs w:val="28"/>
              </w:rPr>
              <w:t>4</w:t>
            </w:r>
            <w:r w:rsidRPr="00287216">
              <w:rPr>
                <w:color w:val="000000"/>
                <w:sz w:val="28"/>
                <w:szCs w:val="28"/>
              </w:rPr>
              <w:t>, ст.2 Закону.</w:t>
            </w:r>
          </w:p>
        </w:tc>
      </w:tr>
      <w:tr w:rsidR="00C26D4B"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2.</w:t>
            </w:r>
          </w:p>
        </w:tc>
        <w:tc>
          <w:tcPr>
            <w:tcW w:w="3299" w:type="dxa"/>
            <w:gridSpan w:val="2"/>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Назва предмета закупівлі із зазначенням коду за Єдиним закупівельним словником</w:t>
            </w:r>
            <w:r w:rsidRPr="00586F56">
              <w:rPr>
                <w:i/>
                <w:color w:val="000000"/>
                <w:sz w:val="28"/>
                <w:szCs w:val="28"/>
                <w:shd w:val="clear" w:color="auto" w:fill="FFFFFF"/>
                <w:lang w:val="uk-UA"/>
              </w:rPr>
              <w:t>:</w:t>
            </w:r>
          </w:p>
        </w:tc>
        <w:tc>
          <w:tcPr>
            <w:tcW w:w="5918" w:type="dxa"/>
            <w:tcBorders>
              <w:top w:val="double" w:sz="4" w:space="0" w:color="auto"/>
              <w:left w:val="double" w:sz="4" w:space="0" w:color="auto"/>
              <w:bottom w:val="double" w:sz="4" w:space="0" w:color="auto"/>
              <w:right w:val="double" w:sz="4" w:space="0" w:color="auto"/>
            </w:tcBorders>
            <w:vAlign w:val="center"/>
            <w:hideMark/>
          </w:tcPr>
          <w:p w:rsidR="00C26D4B" w:rsidRDefault="00C26D4B" w:rsidP="00C26D4B">
            <w:pPr>
              <w:pStyle w:val="2"/>
              <w:tabs>
                <w:tab w:val="left" w:pos="9631"/>
              </w:tabs>
              <w:spacing w:after="0" w:line="240" w:lineRule="auto"/>
              <w:jc w:val="both"/>
              <w:textAlignment w:val="baseline"/>
              <w:rPr>
                <w:rFonts w:ascii="Times New Roman" w:hAnsi="Times New Roman"/>
                <w:b w:val="0"/>
                <w:bCs w:val="0"/>
                <w:i w:val="0"/>
                <w:lang w:val="uk-UA"/>
              </w:rPr>
            </w:pPr>
            <w:r w:rsidRPr="00747034">
              <w:rPr>
                <w:rFonts w:ascii="Times New Roman" w:hAnsi="Times New Roman"/>
                <w:b w:val="0"/>
                <w:bCs w:val="0"/>
                <w:i w:val="0"/>
                <w:lang w:val="uk-UA"/>
              </w:rPr>
              <w:t xml:space="preserve">Конкретна назва предмета закупівлі - </w:t>
            </w:r>
            <w:r w:rsidRPr="00C26D4B">
              <w:rPr>
                <w:rFonts w:ascii="Times New Roman" w:hAnsi="Times New Roman"/>
                <w:b w:val="0"/>
                <w:bCs w:val="0"/>
                <w:i w:val="0"/>
                <w:lang w:val="uk-UA"/>
              </w:rPr>
              <w:t>Експлуатаційні та інші послуги, пов’язані з утриманням приміщень, будинків та прибудинкових територій в належному стані Головного управління ДПС у Тернопільській області</w:t>
            </w:r>
          </w:p>
          <w:p w:rsidR="00C26D4B" w:rsidRPr="00747034" w:rsidRDefault="00C26D4B" w:rsidP="00C26D4B">
            <w:pPr>
              <w:pStyle w:val="2"/>
              <w:tabs>
                <w:tab w:val="left" w:pos="9631"/>
              </w:tabs>
              <w:spacing w:after="0" w:line="240" w:lineRule="auto"/>
              <w:jc w:val="both"/>
              <w:textAlignment w:val="baseline"/>
              <w:rPr>
                <w:rFonts w:ascii="Times New Roman" w:hAnsi="Times New Roman"/>
                <w:i w:val="0"/>
              </w:rPr>
            </w:pPr>
            <w:r w:rsidRPr="00747034">
              <w:rPr>
                <w:rFonts w:ascii="Times New Roman" w:hAnsi="Times New Roman"/>
                <w:b w:val="0"/>
                <w:bCs w:val="0"/>
                <w:i w:val="0"/>
                <w:lang w:val="uk-UA"/>
              </w:rPr>
              <w:t xml:space="preserve">за кодом CPV </w:t>
            </w:r>
            <w:proofErr w:type="spellStart"/>
            <w:r w:rsidRPr="00747034">
              <w:rPr>
                <w:rFonts w:ascii="Times New Roman" w:hAnsi="Times New Roman"/>
                <w:b w:val="0"/>
                <w:bCs w:val="0"/>
                <w:i w:val="0"/>
                <w:lang w:val="uk-UA"/>
              </w:rPr>
              <w:t>ДК</w:t>
            </w:r>
            <w:proofErr w:type="spellEnd"/>
            <w:r w:rsidRPr="00747034">
              <w:rPr>
                <w:rFonts w:ascii="Times New Roman" w:hAnsi="Times New Roman"/>
                <w:b w:val="0"/>
                <w:bCs w:val="0"/>
                <w:i w:val="0"/>
                <w:lang w:val="uk-UA"/>
              </w:rPr>
              <w:t xml:space="preserve"> 021:2015 – </w:t>
            </w:r>
            <w:r w:rsidRPr="00C26D4B">
              <w:rPr>
                <w:rFonts w:ascii="Times New Roman" w:hAnsi="Times New Roman"/>
                <w:b w:val="0"/>
                <w:bCs w:val="0"/>
                <w:i w:val="0"/>
                <w:lang w:val="uk-UA"/>
              </w:rPr>
              <w:t>70330000-3 Послуги з управління нерухомістю, надавані на платній основі чи на договірних засадах.</w:t>
            </w:r>
          </w:p>
        </w:tc>
      </w:tr>
      <w:tr w:rsidR="00C26D4B"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3.</w:t>
            </w:r>
          </w:p>
        </w:tc>
        <w:tc>
          <w:tcPr>
            <w:tcW w:w="3299" w:type="dxa"/>
            <w:gridSpan w:val="2"/>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Кількість та місце поставки товарів , обсяг і місце виконання робіт чи надання послуг:</w:t>
            </w:r>
          </w:p>
        </w:tc>
        <w:tc>
          <w:tcPr>
            <w:tcW w:w="5918" w:type="dxa"/>
            <w:tcBorders>
              <w:top w:val="double" w:sz="4" w:space="0" w:color="auto"/>
              <w:left w:val="double" w:sz="4" w:space="0" w:color="auto"/>
              <w:bottom w:val="double" w:sz="4" w:space="0" w:color="auto"/>
              <w:right w:val="double" w:sz="4" w:space="0" w:color="auto"/>
            </w:tcBorders>
            <w:hideMark/>
          </w:tcPr>
          <w:p w:rsidR="00C644C6" w:rsidRPr="004845BE" w:rsidRDefault="00C26D4B" w:rsidP="00C644C6">
            <w:pPr>
              <w:autoSpaceDE w:val="0"/>
              <w:autoSpaceDN w:val="0"/>
              <w:adjustRightInd w:val="0"/>
              <w:spacing w:after="0"/>
              <w:jc w:val="both"/>
              <w:rPr>
                <w:color w:val="000000"/>
                <w:sz w:val="28"/>
                <w:szCs w:val="28"/>
              </w:rPr>
            </w:pPr>
            <w:proofErr w:type="spellStart"/>
            <w:r w:rsidRPr="00143ACE">
              <w:rPr>
                <w:rFonts w:ascii="Times New Roman" w:hAnsi="Times New Roman"/>
                <w:color w:val="000000"/>
                <w:sz w:val="28"/>
                <w:szCs w:val="28"/>
              </w:rPr>
              <w:t>Місце</w:t>
            </w:r>
            <w:proofErr w:type="spellEnd"/>
            <w:r w:rsidRPr="00143ACE">
              <w:rPr>
                <w:rFonts w:ascii="Times New Roman" w:hAnsi="Times New Roman"/>
                <w:color w:val="000000"/>
                <w:sz w:val="28"/>
                <w:szCs w:val="28"/>
                <w:shd w:val="clear" w:color="auto" w:fill="FFFFFF"/>
                <w:lang w:val="uk-UA"/>
              </w:rPr>
              <w:t xml:space="preserve"> надання послуг</w:t>
            </w:r>
            <w:r w:rsidRPr="00143ACE">
              <w:rPr>
                <w:rFonts w:ascii="Times New Roman" w:hAnsi="Times New Roman"/>
                <w:color w:val="000000"/>
                <w:sz w:val="28"/>
                <w:szCs w:val="28"/>
              </w:rPr>
              <w:t>:</w:t>
            </w:r>
            <w:r w:rsidRPr="00747034">
              <w:rPr>
                <w:color w:val="000000"/>
                <w:sz w:val="28"/>
                <w:szCs w:val="28"/>
              </w:rPr>
              <w:t xml:space="preserve"> </w:t>
            </w:r>
          </w:p>
          <w:p w:rsidR="00C644C6" w:rsidRPr="00C644C6" w:rsidRDefault="00C644C6" w:rsidP="00C644C6">
            <w:pPr>
              <w:autoSpaceDE w:val="0"/>
              <w:autoSpaceDN w:val="0"/>
              <w:adjustRightInd w:val="0"/>
              <w:spacing w:after="0"/>
              <w:jc w:val="both"/>
              <w:rPr>
                <w:rFonts w:ascii="Times New Roman" w:eastAsia="Times New Roman" w:hAnsi="Times New Roman"/>
                <w:color w:val="000000"/>
                <w:sz w:val="28"/>
                <w:szCs w:val="28"/>
                <w:lang w:val="uk-UA" w:eastAsia="ru-RU"/>
              </w:rPr>
            </w:pPr>
            <w:r w:rsidRPr="00C644C6">
              <w:rPr>
                <w:rFonts w:ascii="Times New Roman" w:eastAsia="Times New Roman" w:hAnsi="Times New Roman"/>
                <w:color w:val="000000"/>
                <w:sz w:val="28"/>
                <w:szCs w:val="28"/>
                <w:lang w:val="uk-UA" w:eastAsia="ru-RU"/>
              </w:rPr>
              <w:t>-</w:t>
            </w:r>
            <w:r w:rsidRPr="00C644C6">
              <w:rPr>
                <w:rFonts w:ascii="Times New Roman" w:eastAsia="Times New Roman" w:hAnsi="Times New Roman"/>
                <w:color w:val="000000"/>
                <w:sz w:val="28"/>
                <w:szCs w:val="28"/>
                <w:lang w:val="uk-UA" w:eastAsia="ru-RU"/>
              </w:rPr>
              <w:tab/>
              <w:t>Обсяг послуг: відповідно до додатку № 3 до тендерної документації</w:t>
            </w:r>
          </w:p>
          <w:p w:rsidR="00C26D4B" w:rsidRPr="00747034" w:rsidRDefault="00C644C6" w:rsidP="00C644C6">
            <w:pPr>
              <w:autoSpaceDE w:val="0"/>
              <w:autoSpaceDN w:val="0"/>
              <w:adjustRightInd w:val="0"/>
              <w:spacing w:after="0"/>
              <w:jc w:val="both"/>
              <w:rPr>
                <w:rFonts w:ascii="Times New Roman" w:hAnsi="Times New Roman"/>
                <w:b/>
                <w:color w:val="000000"/>
                <w:sz w:val="28"/>
                <w:szCs w:val="28"/>
                <w:lang w:val="uk-UA"/>
              </w:rPr>
            </w:pPr>
            <w:r w:rsidRPr="00C644C6">
              <w:rPr>
                <w:rFonts w:ascii="Times New Roman" w:eastAsia="Times New Roman" w:hAnsi="Times New Roman"/>
                <w:color w:val="000000"/>
                <w:sz w:val="28"/>
                <w:szCs w:val="28"/>
                <w:lang w:val="uk-UA" w:eastAsia="ru-RU"/>
              </w:rPr>
              <w:t>-</w:t>
            </w:r>
            <w:r w:rsidRPr="00C644C6">
              <w:rPr>
                <w:rFonts w:ascii="Times New Roman" w:eastAsia="Times New Roman" w:hAnsi="Times New Roman"/>
                <w:color w:val="000000"/>
                <w:sz w:val="28"/>
                <w:szCs w:val="28"/>
                <w:lang w:val="uk-UA" w:eastAsia="ru-RU"/>
              </w:rPr>
              <w:tab/>
              <w:t>Місце надання послуг - відповідно до додатку № 3 до тендерної документації</w:t>
            </w:r>
          </w:p>
        </w:tc>
      </w:tr>
      <w:tr w:rsidR="00C26D4B" w:rsidRPr="00C644C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center"/>
              <w:rPr>
                <w:b/>
                <w:color w:val="000000"/>
                <w:sz w:val="28"/>
                <w:szCs w:val="28"/>
                <w:lang w:val="uk-UA"/>
              </w:rPr>
            </w:pPr>
          </w:p>
          <w:p w:rsidR="00C26D4B" w:rsidRPr="00586F56" w:rsidRDefault="00C26D4B"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 xml:space="preserve">4. </w:t>
            </w:r>
          </w:p>
        </w:tc>
        <w:tc>
          <w:tcPr>
            <w:tcW w:w="3299" w:type="dxa"/>
            <w:gridSpan w:val="2"/>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both"/>
              <w:rPr>
                <w:color w:val="000000"/>
                <w:sz w:val="28"/>
                <w:szCs w:val="28"/>
                <w:shd w:val="clear" w:color="auto" w:fill="FFFFFF"/>
                <w:lang w:val="uk-UA"/>
              </w:rPr>
            </w:pPr>
            <w:r w:rsidRPr="00586F56">
              <w:rPr>
                <w:color w:val="000000"/>
                <w:sz w:val="28"/>
                <w:szCs w:val="28"/>
                <w:shd w:val="clear" w:color="auto" w:fill="FFFFFF"/>
                <w:lang w:val="uk-UA"/>
              </w:rPr>
              <w:t>Очікувана вартість предмета закупівлі:</w:t>
            </w:r>
          </w:p>
        </w:tc>
        <w:tc>
          <w:tcPr>
            <w:tcW w:w="5918" w:type="dxa"/>
            <w:tcBorders>
              <w:top w:val="double" w:sz="4" w:space="0" w:color="auto"/>
              <w:left w:val="double" w:sz="4" w:space="0" w:color="auto"/>
              <w:bottom w:val="double" w:sz="4" w:space="0" w:color="auto"/>
              <w:right w:val="double" w:sz="4" w:space="0" w:color="auto"/>
            </w:tcBorders>
            <w:hideMark/>
          </w:tcPr>
          <w:p w:rsidR="00C26D4B" w:rsidRPr="00747034" w:rsidRDefault="00C644C6" w:rsidP="00C644C6">
            <w:pPr>
              <w:autoSpaceDE w:val="0"/>
              <w:autoSpaceDN w:val="0"/>
              <w:adjustRightInd w:val="0"/>
              <w:spacing w:after="0"/>
              <w:jc w:val="both"/>
              <w:rPr>
                <w:rFonts w:ascii="Times New Roman" w:hAnsi="Times New Roman"/>
                <w:color w:val="000000"/>
                <w:sz w:val="28"/>
                <w:szCs w:val="28"/>
                <w:lang w:val="uk-UA"/>
              </w:rPr>
            </w:pPr>
            <w:r w:rsidRPr="00C644C6">
              <w:rPr>
                <w:rFonts w:ascii="Times New Roman" w:hAnsi="Times New Roman"/>
                <w:color w:val="000000"/>
                <w:sz w:val="28"/>
                <w:szCs w:val="28"/>
              </w:rPr>
              <w:t>29466</w:t>
            </w:r>
            <w:r w:rsidR="009162E0" w:rsidRPr="009162E0">
              <w:rPr>
                <w:rFonts w:ascii="Times New Roman" w:hAnsi="Times New Roman"/>
                <w:color w:val="000000"/>
                <w:sz w:val="28"/>
                <w:szCs w:val="28"/>
                <w:lang w:val="uk-UA"/>
              </w:rPr>
              <w:t xml:space="preserve">00,00 грн. </w:t>
            </w:r>
            <w:r w:rsidR="00C26D4B" w:rsidRPr="00747034">
              <w:rPr>
                <w:rFonts w:ascii="Times New Roman" w:hAnsi="Times New Roman"/>
                <w:color w:val="000000"/>
                <w:sz w:val="28"/>
                <w:szCs w:val="28"/>
                <w:lang w:val="uk-UA"/>
              </w:rPr>
              <w:t>(</w:t>
            </w:r>
            <w:r w:rsidRPr="00C644C6">
              <w:rPr>
                <w:rFonts w:ascii="Times New Roman" w:hAnsi="Times New Roman"/>
                <w:color w:val="000000"/>
                <w:sz w:val="28"/>
                <w:szCs w:val="28"/>
              </w:rPr>
              <w:t xml:space="preserve">Два </w:t>
            </w:r>
            <w:r w:rsidR="00C26D4B">
              <w:rPr>
                <w:rFonts w:ascii="Times New Roman" w:hAnsi="Times New Roman"/>
                <w:color w:val="000000"/>
                <w:sz w:val="28"/>
                <w:szCs w:val="28"/>
                <w:lang w:val="uk-UA"/>
              </w:rPr>
              <w:t xml:space="preserve"> мільйони </w:t>
            </w:r>
            <w:r>
              <w:rPr>
                <w:rFonts w:ascii="Times New Roman" w:hAnsi="Times New Roman"/>
                <w:color w:val="000000"/>
                <w:sz w:val="28"/>
                <w:szCs w:val="28"/>
                <w:lang w:val="uk-UA"/>
              </w:rPr>
              <w:t xml:space="preserve">дев’ятсот сорок </w:t>
            </w:r>
            <w:r w:rsidR="009162E0">
              <w:rPr>
                <w:rFonts w:ascii="Times New Roman" w:hAnsi="Times New Roman"/>
                <w:color w:val="000000"/>
                <w:sz w:val="28"/>
                <w:szCs w:val="28"/>
                <w:lang w:val="uk-UA"/>
              </w:rPr>
              <w:t>шіст</w:t>
            </w:r>
            <w:r>
              <w:rPr>
                <w:rFonts w:ascii="Times New Roman" w:hAnsi="Times New Roman"/>
                <w:color w:val="000000"/>
                <w:sz w:val="28"/>
                <w:szCs w:val="28"/>
                <w:lang w:val="uk-UA"/>
              </w:rPr>
              <w:t>ь</w:t>
            </w:r>
            <w:r w:rsidR="00C26D4B">
              <w:rPr>
                <w:rFonts w:ascii="Times New Roman" w:hAnsi="Times New Roman"/>
                <w:color w:val="000000"/>
                <w:sz w:val="28"/>
                <w:szCs w:val="28"/>
                <w:lang w:val="uk-UA"/>
              </w:rPr>
              <w:t xml:space="preserve"> тисяч</w:t>
            </w:r>
            <w:r>
              <w:rPr>
                <w:rFonts w:ascii="Times New Roman" w:hAnsi="Times New Roman"/>
                <w:color w:val="000000"/>
                <w:sz w:val="28"/>
                <w:szCs w:val="28"/>
                <w:lang w:val="uk-UA"/>
              </w:rPr>
              <w:t xml:space="preserve"> шістсот</w:t>
            </w:r>
            <w:r w:rsidR="00C26D4B">
              <w:rPr>
                <w:rFonts w:ascii="Times New Roman" w:hAnsi="Times New Roman"/>
                <w:color w:val="000000"/>
                <w:sz w:val="28"/>
                <w:szCs w:val="28"/>
                <w:lang w:val="uk-UA"/>
              </w:rPr>
              <w:t xml:space="preserve"> </w:t>
            </w:r>
            <w:r w:rsidR="00C26D4B" w:rsidRPr="00747034">
              <w:rPr>
                <w:rFonts w:ascii="Times New Roman" w:hAnsi="Times New Roman"/>
                <w:color w:val="000000"/>
                <w:sz w:val="28"/>
                <w:szCs w:val="28"/>
                <w:lang w:val="uk-UA"/>
              </w:rPr>
              <w:t>гривень</w:t>
            </w:r>
            <w:r w:rsidR="00C26D4B">
              <w:rPr>
                <w:rFonts w:ascii="Times New Roman" w:hAnsi="Times New Roman"/>
                <w:color w:val="000000"/>
                <w:sz w:val="28"/>
                <w:szCs w:val="28"/>
                <w:lang w:val="uk-UA"/>
              </w:rPr>
              <w:t xml:space="preserve"> 00 коп.</w:t>
            </w:r>
            <w:r w:rsidR="00C26D4B" w:rsidRPr="00747034">
              <w:rPr>
                <w:rFonts w:ascii="Times New Roman" w:hAnsi="Times New Roman"/>
                <w:color w:val="000000"/>
                <w:sz w:val="28"/>
                <w:szCs w:val="28"/>
                <w:lang w:val="uk-UA"/>
              </w:rPr>
              <w:t xml:space="preserve">) </w:t>
            </w:r>
            <w:r w:rsidR="00C26D4B">
              <w:rPr>
                <w:rFonts w:ascii="Times New Roman" w:hAnsi="Times New Roman"/>
                <w:color w:val="000000"/>
                <w:sz w:val="28"/>
                <w:szCs w:val="28"/>
                <w:lang w:val="uk-UA"/>
              </w:rPr>
              <w:t>з ПДВ.</w:t>
            </w:r>
          </w:p>
        </w:tc>
      </w:tr>
      <w:tr w:rsidR="00C26D4B" w:rsidRPr="00C644C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center"/>
              <w:rPr>
                <w:b/>
                <w:color w:val="000000"/>
                <w:sz w:val="28"/>
                <w:szCs w:val="28"/>
                <w:lang w:val="uk-UA"/>
              </w:rPr>
            </w:pPr>
          </w:p>
        </w:tc>
        <w:tc>
          <w:tcPr>
            <w:tcW w:w="3299" w:type="dxa"/>
            <w:gridSpan w:val="2"/>
            <w:tcBorders>
              <w:top w:val="double" w:sz="4" w:space="0" w:color="auto"/>
              <w:left w:val="double" w:sz="4" w:space="0" w:color="auto"/>
              <w:bottom w:val="double" w:sz="4" w:space="0" w:color="auto"/>
              <w:right w:val="double" w:sz="4" w:space="0" w:color="auto"/>
            </w:tcBorders>
            <w:hideMark/>
          </w:tcPr>
          <w:p w:rsidR="00C26D4B" w:rsidRPr="00586F56" w:rsidRDefault="00C26D4B" w:rsidP="009744D0">
            <w:pPr>
              <w:pStyle w:val="200"/>
              <w:spacing w:before="0" w:beforeAutospacing="0" w:after="0" w:afterAutospacing="0"/>
              <w:jc w:val="both"/>
              <w:rPr>
                <w:color w:val="000000"/>
                <w:sz w:val="28"/>
                <w:szCs w:val="28"/>
                <w:shd w:val="clear" w:color="auto" w:fill="FFFFFF"/>
                <w:lang w:val="uk-UA"/>
              </w:rPr>
            </w:pPr>
          </w:p>
        </w:tc>
        <w:tc>
          <w:tcPr>
            <w:tcW w:w="5918" w:type="dxa"/>
            <w:tcBorders>
              <w:top w:val="double" w:sz="4" w:space="0" w:color="auto"/>
              <w:left w:val="double" w:sz="4" w:space="0" w:color="auto"/>
              <w:bottom w:val="double" w:sz="4" w:space="0" w:color="auto"/>
              <w:right w:val="double" w:sz="4" w:space="0" w:color="auto"/>
            </w:tcBorders>
            <w:hideMark/>
          </w:tcPr>
          <w:p w:rsidR="00C26D4B" w:rsidRPr="000F76DA" w:rsidRDefault="00C26D4B" w:rsidP="009744D0">
            <w:pPr>
              <w:autoSpaceDE w:val="0"/>
              <w:autoSpaceDN w:val="0"/>
              <w:adjustRightInd w:val="0"/>
              <w:spacing w:after="0"/>
              <w:jc w:val="both"/>
              <w:rPr>
                <w:rFonts w:ascii="Times New Roman" w:hAnsi="Times New Roman"/>
                <w:color w:val="000000"/>
                <w:sz w:val="28"/>
                <w:szCs w:val="28"/>
                <w:lang w:val="uk-UA"/>
              </w:rPr>
            </w:pP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5.</w:t>
            </w: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Строк поставки товарів, виконання робіт, надання послуг:</w:t>
            </w:r>
          </w:p>
        </w:tc>
        <w:tc>
          <w:tcPr>
            <w:tcW w:w="5918" w:type="dxa"/>
            <w:tcBorders>
              <w:top w:val="double" w:sz="4" w:space="0" w:color="auto"/>
              <w:left w:val="double" w:sz="4" w:space="0" w:color="auto"/>
              <w:bottom w:val="double" w:sz="4" w:space="0" w:color="auto"/>
              <w:right w:val="double" w:sz="4" w:space="0" w:color="auto"/>
            </w:tcBorders>
            <w:vAlign w:val="center"/>
            <w:hideMark/>
          </w:tcPr>
          <w:p w:rsidR="009162E0" w:rsidRPr="009162E0" w:rsidRDefault="00C644C6" w:rsidP="00BA4F19">
            <w:pPr>
              <w:pStyle w:val="a4"/>
              <w:spacing w:beforeAutospacing="0" w:afterAutospacing="0"/>
              <w:rPr>
                <w:sz w:val="28"/>
                <w:szCs w:val="28"/>
              </w:rPr>
            </w:pPr>
            <w:r w:rsidRPr="00C644C6">
              <w:rPr>
                <w:sz w:val="28"/>
                <w:szCs w:val="28"/>
              </w:rPr>
              <w:t>З моменту підписання договору по 31 грудня 2024 року (включно).</w:t>
            </w: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6.</w:t>
            </w:r>
          </w:p>
          <w:p w:rsidR="009162E0" w:rsidRPr="00586F56" w:rsidRDefault="009162E0" w:rsidP="009744D0">
            <w:pPr>
              <w:pStyle w:val="200"/>
              <w:spacing w:before="0" w:beforeAutospacing="0" w:after="0" w:afterAutospacing="0"/>
              <w:jc w:val="center"/>
              <w:rPr>
                <w:b/>
                <w:color w:val="000000"/>
                <w:sz w:val="28"/>
                <w:szCs w:val="28"/>
                <w:lang w:val="uk-UA"/>
              </w:rPr>
            </w:pP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shd w:val="clear" w:color="auto" w:fill="FFFFFF"/>
                <w:lang w:val="uk-UA"/>
              </w:rPr>
            </w:pPr>
            <w:r w:rsidRPr="00586F56">
              <w:rPr>
                <w:color w:val="000000"/>
                <w:sz w:val="28"/>
                <w:szCs w:val="28"/>
                <w:shd w:val="clear" w:color="auto" w:fill="FFFFFF"/>
                <w:lang w:val="uk-UA"/>
              </w:rPr>
              <w:t>Кінцевий строк подання тендерних пропозицій.</w:t>
            </w:r>
          </w:p>
        </w:tc>
        <w:tc>
          <w:tcPr>
            <w:tcW w:w="5918" w:type="dxa"/>
            <w:tcBorders>
              <w:top w:val="double" w:sz="4" w:space="0" w:color="auto"/>
              <w:left w:val="double" w:sz="4" w:space="0" w:color="auto"/>
              <w:bottom w:val="double" w:sz="4" w:space="0" w:color="auto"/>
              <w:right w:val="double" w:sz="4" w:space="0" w:color="auto"/>
            </w:tcBorders>
            <w:vAlign w:val="center"/>
            <w:hideMark/>
          </w:tcPr>
          <w:p w:rsidR="009162E0" w:rsidRPr="00E86748" w:rsidRDefault="009162E0" w:rsidP="009744D0">
            <w:pPr>
              <w:contextualSpacing/>
              <w:jc w:val="both"/>
              <w:rPr>
                <w:rFonts w:ascii="Times New Roman" w:hAnsi="Times New Roman"/>
                <w:sz w:val="28"/>
                <w:szCs w:val="28"/>
                <w:lang w:val="uk-UA"/>
              </w:rPr>
            </w:pPr>
            <w:r w:rsidRPr="00E86748">
              <w:rPr>
                <w:rFonts w:ascii="Times New Roman" w:hAnsi="Times New Roman"/>
                <w:sz w:val="28"/>
                <w:szCs w:val="28"/>
              </w:rPr>
              <w:t>«</w:t>
            </w:r>
            <w:r>
              <w:rPr>
                <w:rFonts w:ascii="Times New Roman" w:hAnsi="Times New Roman"/>
                <w:sz w:val="28"/>
                <w:szCs w:val="28"/>
                <w:lang w:val="uk-UA"/>
              </w:rPr>
              <w:t>0</w:t>
            </w:r>
            <w:r w:rsidR="004845BE">
              <w:rPr>
                <w:rFonts w:ascii="Times New Roman" w:hAnsi="Times New Roman"/>
                <w:sz w:val="28"/>
                <w:szCs w:val="28"/>
                <w:lang w:val="uk-UA"/>
              </w:rPr>
              <w:t>7</w:t>
            </w:r>
            <w:r>
              <w:rPr>
                <w:rFonts w:ascii="Times New Roman" w:hAnsi="Times New Roman"/>
                <w:sz w:val="28"/>
                <w:szCs w:val="28"/>
                <w:lang w:val="uk-UA"/>
              </w:rPr>
              <w:t>»</w:t>
            </w:r>
            <w:r w:rsidRPr="00E86748">
              <w:rPr>
                <w:rFonts w:ascii="Times New Roman" w:hAnsi="Times New Roman"/>
                <w:sz w:val="28"/>
                <w:szCs w:val="28"/>
              </w:rPr>
              <w:t xml:space="preserve"> </w:t>
            </w:r>
            <w:r w:rsidR="00C644C6">
              <w:rPr>
                <w:rFonts w:ascii="Times New Roman" w:hAnsi="Times New Roman"/>
                <w:sz w:val="28"/>
                <w:szCs w:val="28"/>
                <w:lang w:val="uk-UA"/>
              </w:rPr>
              <w:t>березня</w:t>
            </w:r>
            <w:r>
              <w:rPr>
                <w:rFonts w:ascii="Times New Roman" w:hAnsi="Times New Roman"/>
                <w:sz w:val="28"/>
                <w:szCs w:val="28"/>
                <w:lang w:val="uk-UA"/>
              </w:rPr>
              <w:t xml:space="preserve"> </w:t>
            </w:r>
            <w:r w:rsidRPr="00E86748">
              <w:rPr>
                <w:rFonts w:ascii="Times New Roman" w:hAnsi="Times New Roman"/>
                <w:sz w:val="28"/>
                <w:szCs w:val="28"/>
              </w:rPr>
              <w:t>202</w:t>
            </w:r>
            <w:r w:rsidR="00C644C6">
              <w:rPr>
                <w:rFonts w:ascii="Times New Roman" w:hAnsi="Times New Roman"/>
                <w:sz w:val="28"/>
                <w:szCs w:val="28"/>
                <w:lang w:val="uk-UA"/>
              </w:rPr>
              <w:t>4</w:t>
            </w:r>
            <w:r w:rsidRPr="00E86748">
              <w:rPr>
                <w:rFonts w:ascii="Times New Roman" w:hAnsi="Times New Roman"/>
                <w:sz w:val="28"/>
                <w:szCs w:val="28"/>
              </w:rPr>
              <w:t xml:space="preserve"> року 00.00 год</w:t>
            </w:r>
            <w:r w:rsidRPr="00E86748">
              <w:rPr>
                <w:rFonts w:ascii="Times New Roman" w:hAnsi="Times New Roman"/>
                <w:sz w:val="28"/>
                <w:szCs w:val="28"/>
                <w:lang w:val="uk-UA"/>
              </w:rPr>
              <w:t>.</w:t>
            </w:r>
          </w:p>
          <w:p w:rsidR="009162E0" w:rsidRPr="00747034" w:rsidRDefault="009162E0" w:rsidP="009744D0">
            <w:pPr>
              <w:autoSpaceDN w:val="0"/>
              <w:adjustRightInd w:val="0"/>
              <w:spacing w:after="0" w:line="240" w:lineRule="auto"/>
              <w:jc w:val="both"/>
              <w:rPr>
                <w:rFonts w:ascii="Times New Roman" w:hAnsi="Times New Roman"/>
                <w:b/>
                <w:sz w:val="28"/>
                <w:szCs w:val="28"/>
              </w:rPr>
            </w:pPr>
          </w:p>
        </w:tc>
      </w:tr>
      <w:tr w:rsidR="009162E0" w:rsidRPr="00F242D9"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6.</w:t>
            </w: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Умови оплати:</w:t>
            </w:r>
          </w:p>
        </w:tc>
        <w:tc>
          <w:tcPr>
            <w:tcW w:w="5918" w:type="dxa"/>
            <w:tcBorders>
              <w:top w:val="double" w:sz="4" w:space="0" w:color="auto"/>
              <w:left w:val="double" w:sz="4" w:space="0" w:color="auto"/>
              <w:bottom w:val="double" w:sz="4" w:space="0" w:color="auto"/>
              <w:right w:val="double" w:sz="4" w:space="0" w:color="auto"/>
            </w:tcBorders>
            <w:hideMark/>
          </w:tcPr>
          <w:p w:rsidR="009162E0" w:rsidRPr="00385D7F" w:rsidRDefault="00C644C6" w:rsidP="009744D0">
            <w:pPr>
              <w:spacing w:after="0" w:line="240" w:lineRule="auto"/>
              <w:jc w:val="both"/>
              <w:rPr>
                <w:rFonts w:ascii="Times New Roman" w:hAnsi="Times New Roman"/>
                <w:color w:val="000000"/>
                <w:sz w:val="28"/>
                <w:szCs w:val="28"/>
                <w:lang w:val="uk-UA"/>
              </w:rPr>
            </w:pPr>
            <w:r w:rsidRPr="00C644C6">
              <w:rPr>
                <w:rFonts w:ascii="Times New Roman" w:hAnsi="Times New Roman"/>
                <w:sz w:val="28"/>
                <w:szCs w:val="28"/>
                <w:lang w:val="uk-UA"/>
              </w:rPr>
              <w:t>Розрахунки здійснюються в національній валюті України гривні у безготівковій формі шляхом перерахування грошових коштів на розрахунковий рахунок Виконавця за кожний місяць на підставі акту приймання – передачі Послуг (далі – Акт) та розрахунків до нього протягом 10 (десяти) робочих днів з моменту підписання Акту уповноваженими  представниками Сторін (КЕКВ- 2240).</w:t>
            </w:r>
          </w:p>
        </w:tc>
      </w:tr>
      <w:tr w:rsidR="009162E0" w:rsidRPr="00C644C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7.</w:t>
            </w: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 xml:space="preserve">Мова (мови) якими </w:t>
            </w:r>
            <w:r w:rsidRPr="00586F56">
              <w:rPr>
                <w:color w:val="000000"/>
                <w:sz w:val="28"/>
                <w:szCs w:val="28"/>
                <w:shd w:val="clear" w:color="auto" w:fill="FFFFFF"/>
                <w:lang w:val="uk-UA"/>
              </w:rPr>
              <w:lastRenderedPageBreak/>
              <w:t>повинні готуватися тендерні пропозиції</w:t>
            </w:r>
          </w:p>
        </w:tc>
        <w:tc>
          <w:tcPr>
            <w:tcW w:w="5918" w:type="dxa"/>
            <w:tcBorders>
              <w:top w:val="double" w:sz="4" w:space="0" w:color="auto"/>
              <w:left w:val="double" w:sz="4" w:space="0" w:color="auto"/>
              <w:bottom w:val="double" w:sz="4" w:space="0" w:color="auto"/>
              <w:right w:val="double" w:sz="4" w:space="0" w:color="auto"/>
            </w:tcBorders>
            <w:vAlign w:val="center"/>
            <w:hideMark/>
          </w:tcPr>
          <w:p w:rsidR="00C644C6" w:rsidRPr="00C644C6" w:rsidRDefault="00C644C6" w:rsidP="00C644C6">
            <w:pPr>
              <w:snapToGrid w:val="0"/>
              <w:spacing w:after="0" w:line="240" w:lineRule="auto"/>
              <w:rPr>
                <w:rFonts w:ascii="Times New Roman" w:hAnsi="Times New Roman"/>
                <w:sz w:val="28"/>
                <w:szCs w:val="28"/>
                <w:lang w:val="uk-UA"/>
              </w:rPr>
            </w:pPr>
            <w:r w:rsidRPr="00C644C6">
              <w:rPr>
                <w:rFonts w:ascii="Times New Roman" w:hAnsi="Times New Roman"/>
                <w:sz w:val="28"/>
                <w:szCs w:val="28"/>
                <w:lang w:val="uk-UA"/>
              </w:rPr>
              <w:lastRenderedPageBreak/>
              <w:t xml:space="preserve">Усі документи, що подаються у складі </w:t>
            </w:r>
            <w:r w:rsidRPr="00C644C6">
              <w:rPr>
                <w:rFonts w:ascii="Times New Roman" w:hAnsi="Times New Roman"/>
                <w:sz w:val="28"/>
                <w:szCs w:val="28"/>
                <w:lang w:val="uk-UA"/>
              </w:rPr>
              <w:lastRenderedPageBreak/>
              <w:t>тендерної пропозиції, повинні бути складені українською мовою.</w:t>
            </w:r>
          </w:p>
          <w:p w:rsidR="009162E0" w:rsidRPr="00C644C6" w:rsidRDefault="00C644C6" w:rsidP="00C644C6">
            <w:pPr>
              <w:snapToGrid w:val="0"/>
              <w:spacing w:after="0" w:line="240" w:lineRule="auto"/>
              <w:rPr>
                <w:rFonts w:ascii="Times New Roman" w:hAnsi="Times New Roman"/>
                <w:sz w:val="28"/>
                <w:szCs w:val="28"/>
              </w:rPr>
            </w:pPr>
            <w:r w:rsidRPr="00C644C6">
              <w:rPr>
                <w:rFonts w:ascii="Times New Roman" w:hAnsi="Times New Roman"/>
                <w:sz w:val="28"/>
                <w:szCs w:val="28"/>
                <w:lang w:val="uk-UA"/>
              </w:rPr>
              <w:t>У разі, якщо документ викладений іноземною мовою, до нього додається переклад українською мовою.</w:t>
            </w:r>
            <w:r>
              <w:t xml:space="preserve"> </w:t>
            </w:r>
            <w:r w:rsidRPr="00C644C6">
              <w:rPr>
                <w:rFonts w:ascii="Times New Roman" w:hAnsi="Times New Roman"/>
                <w:sz w:val="28"/>
                <w:szCs w:val="28"/>
                <w:lang w:val="uk-UA"/>
              </w:rPr>
              <w:t>Тексти повинні бути автентичними, визначальним є текст, викладений українською мовою.</w:t>
            </w: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lastRenderedPageBreak/>
              <w:t>8.</w:t>
            </w: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 xml:space="preserve">Розмір та умови надання забезпечення пропозицій учасників </w:t>
            </w:r>
            <w:r w:rsidRPr="00586F56">
              <w:rPr>
                <w:i/>
                <w:color w:val="000000"/>
                <w:sz w:val="28"/>
                <w:szCs w:val="28"/>
                <w:shd w:val="clear" w:color="auto" w:fill="FFFFFF"/>
                <w:lang w:val="uk-UA"/>
              </w:rPr>
              <w:t>(якщо замовник вимагає його надати)</w:t>
            </w:r>
            <w:r w:rsidRPr="00586F56">
              <w:rPr>
                <w:color w:val="000000"/>
                <w:sz w:val="28"/>
                <w:szCs w:val="28"/>
                <w:shd w:val="clear" w:color="auto" w:fill="FFFFFF"/>
                <w:lang w:val="uk-UA"/>
              </w:rPr>
              <w:t>:</w:t>
            </w:r>
          </w:p>
        </w:tc>
        <w:tc>
          <w:tcPr>
            <w:tcW w:w="5918" w:type="dxa"/>
            <w:tcBorders>
              <w:top w:val="double" w:sz="4" w:space="0" w:color="auto"/>
              <w:left w:val="double" w:sz="4" w:space="0" w:color="auto"/>
              <w:bottom w:val="double" w:sz="4" w:space="0" w:color="auto"/>
              <w:right w:val="double" w:sz="4" w:space="0" w:color="auto"/>
            </w:tcBorders>
            <w:vAlign w:val="center"/>
            <w:hideMark/>
          </w:tcPr>
          <w:p w:rsidR="00402A38" w:rsidRPr="00402A38" w:rsidRDefault="00402A38" w:rsidP="00402A38">
            <w:pPr>
              <w:pStyle w:val="200"/>
              <w:spacing w:after="0"/>
              <w:jc w:val="both"/>
              <w:rPr>
                <w:color w:val="000000"/>
                <w:sz w:val="28"/>
                <w:szCs w:val="28"/>
                <w:lang w:val="uk-UA"/>
              </w:rPr>
            </w:pPr>
            <w:r w:rsidRPr="00402A38">
              <w:rPr>
                <w:color w:val="000000"/>
                <w:sz w:val="28"/>
                <w:szCs w:val="28"/>
                <w:lang w:val="uk-UA"/>
              </w:rPr>
              <w:t>Вид забезпечення тендерної пропозиції: електронна банківська гарантія, що має містити ствердження про виконання зобов’язань щодо сплати відповідних коштів замовнику у разі невиконання учасником умов, передбачених у частині третьої статті 25 Закону.</w:t>
            </w:r>
          </w:p>
          <w:p w:rsidR="00402A38" w:rsidRPr="00402A38" w:rsidRDefault="00402A38" w:rsidP="00402A38">
            <w:pPr>
              <w:pStyle w:val="200"/>
              <w:spacing w:after="0"/>
              <w:jc w:val="both"/>
              <w:rPr>
                <w:color w:val="000000"/>
                <w:sz w:val="28"/>
                <w:szCs w:val="28"/>
                <w:lang w:val="uk-UA"/>
              </w:rPr>
            </w:pPr>
            <w:r w:rsidRPr="00402A38">
              <w:rPr>
                <w:color w:val="000000"/>
                <w:sz w:val="28"/>
                <w:szCs w:val="28"/>
                <w:lang w:val="uk-UA"/>
              </w:rPr>
              <w:t xml:space="preserve">Банківська гарантія повинна бути безвідкличною, безумовною із строком дії не менше ніж дія тендерної пропозиції учасника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 у редакції постанови Правління Національного банку України від 25.01.2018 № 5) (зі змінами), зареєстрованого в Міністерстві юстиції України 13.01.2005 за № 41/10321, та наказу Міністерства розвитку економіки, торгівлі та сільського господарства України від 14.12.2020 № 2628, зареєстрованого в Міністерстві юстиції України 03.03.2021 за № 275/35897, та обов’язково містити реквізити щодо назви закупівлі та її номеру на </w:t>
            </w:r>
            <w:proofErr w:type="spellStart"/>
            <w:r w:rsidRPr="00402A38">
              <w:rPr>
                <w:color w:val="000000"/>
                <w:sz w:val="28"/>
                <w:szCs w:val="28"/>
                <w:lang w:val="uk-UA"/>
              </w:rPr>
              <w:t>веб-порталі</w:t>
            </w:r>
            <w:proofErr w:type="spellEnd"/>
            <w:r w:rsidRPr="00402A38">
              <w:rPr>
                <w:color w:val="000000"/>
                <w:sz w:val="28"/>
                <w:szCs w:val="28"/>
                <w:lang w:val="uk-UA"/>
              </w:rPr>
              <w:t xml:space="preserve"> Уповноваженого органу. </w:t>
            </w:r>
          </w:p>
          <w:p w:rsidR="00402A38" w:rsidRPr="00402A38" w:rsidRDefault="00402A38" w:rsidP="00402A38">
            <w:pPr>
              <w:pStyle w:val="200"/>
              <w:spacing w:after="0"/>
              <w:jc w:val="both"/>
              <w:rPr>
                <w:color w:val="000000"/>
                <w:sz w:val="28"/>
                <w:szCs w:val="28"/>
                <w:lang w:val="uk-UA"/>
              </w:rPr>
            </w:pPr>
            <w:r w:rsidRPr="00402A38">
              <w:rPr>
                <w:color w:val="000000"/>
                <w:sz w:val="28"/>
                <w:szCs w:val="28"/>
                <w:lang w:val="uk-UA"/>
              </w:rPr>
              <w:t xml:space="preserve">Розмір забезпечення тендерної пропозиції (3%): 88398,00 (вісімдесят вісім тисяч триста дев’яносто вісім гривень 00 копійок). </w:t>
            </w:r>
          </w:p>
          <w:p w:rsidR="00402A38" w:rsidRPr="00402A38" w:rsidRDefault="00402A38" w:rsidP="00402A38">
            <w:pPr>
              <w:pStyle w:val="200"/>
              <w:spacing w:after="0"/>
              <w:jc w:val="both"/>
              <w:rPr>
                <w:color w:val="000000"/>
                <w:sz w:val="28"/>
                <w:szCs w:val="28"/>
                <w:lang w:val="uk-UA"/>
              </w:rPr>
            </w:pPr>
            <w:r w:rsidRPr="00402A38">
              <w:rPr>
                <w:color w:val="000000"/>
                <w:sz w:val="28"/>
                <w:szCs w:val="28"/>
                <w:lang w:val="uk-UA"/>
              </w:rPr>
              <w:t>Банківські реквізити замовника:</w:t>
            </w:r>
          </w:p>
          <w:p w:rsidR="00402A38" w:rsidRPr="00402A38" w:rsidRDefault="00402A38" w:rsidP="00402A38">
            <w:pPr>
              <w:pStyle w:val="200"/>
              <w:spacing w:after="0"/>
              <w:jc w:val="both"/>
              <w:rPr>
                <w:color w:val="000000"/>
                <w:sz w:val="28"/>
                <w:szCs w:val="28"/>
                <w:lang w:val="uk-UA"/>
              </w:rPr>
            </w:pPr>
            <w:r w:rsidRPr="00402A38">
              <w:rPr>
                <w:color w:val="000000"/>
                <w:sz w:val="28"/>
                <w:szCs w:val="28"/>
                <w:lang w:val="uk-UA"/>
              </w:rPr>
              <w:t>Код ЄДРПОУ (</w:t>
            </w:r>
            <w:proofErr w:type="spellStart"/>
            <w:r w:rsidRPr="00402A38">
              <w:rPr>
                <w:color w:val="000000"/>
                <w:sz w:val="28"/>
                <w:szCs w:val="28"/>
                <w:lang w:val="uk-UA"/>
              </w:rPr>
              <w:t>отримувача</w:t>
            </w:r>
            <w:proofErr w:type="spellEnd"/>
            <w:r w:rsidRPr="00402A38">
              <w:rPr>
                <w:color w:val="000000"/>
                <w:sz w:val="28"/>
                <w:szCs w:val="28"/>
                <w:lang w:val="uk-UA"/>
              </w:rPr>
              <w:t>):   44143637</w:t>
            </w:r>
          </w:p>
          <w:p w:rsidR="00FE5EE2" w:rsidRDefault="00402A38" w:rsidP="00402A38">
            <w:pPr>
              <w:pStyle w:val="200"/>
              <w:spacing w:after="0"/>
              <w:jc w:val="both"/>
              <w:rPr>
                <w:color w:val="000000"/>
                <w:sz w:val="28"/>
                <w:szCs w:val="28"/>
                <w:lang w:val="uk-UA"/>
              </w:rPr>
            </w:pPr>
            <w:proofErr w:type="spellStart"/>
            <w:r w:rsidRPr="00402A38">
              <w:rPr>
                <w:color w:val="000000"/>
                <w:sz w:val="28"/>
                <w:szCs w:val="28"/>
                <w:lang w:val="uk-UA"/>
              </w:rPr>
              <w:t>Небюджетний</w:t>
            </w:r>
            <w:proofErr w:type="spellEnd"/>
            <w:r w:rsidRPr="00402A38">
              <w:rPr>
                <w:color w:val="000000"/>
                <w:sz w:val="28"/>
                <w:szCs w:val="28"/>
                <w:lang w:val="uk-UA"/>
              </w:rPr>
              <w:t xml:space="preserve"> рахунок:</w:t>
            </w:r>
          </w:p>
          <w:p w:rsidR="00402A38" w:rsidRPr="00402A38" w:rsidRDefault="00402A38" w:rsidP="00402A38">
            <w:pPr>
              <w:pStyle w:val="200"/>
              <w:spacing w:after="0"/>
              <w:jc w:val="both"/>
              <w:rPr>
                <w:color w:val="000000"/>
                <w:sz w:val="28"/>
                <w:szCs w:val="28"/>
                <w:lang w:val="uk-UA"/>
              </w:rPr>
            </w:pPr>
            <w:r w:rsidRPr="00402A38">
              <w:rPr>
                <w:color w:val="000000"/>
                <w:sz w:val="28"/>
                <w:szCs w:val="28"/>
                <w:lang w:val="uk-UA"/>
              </w:rPr>
              <w:lastRenderedPageBreak/>
              <w:t xml:space="preserve">  UA 028201720355269002000110639</w:t>
            </w:r>
          </w:p>
          <w:p w:rsidR="00402A38" w:rsidRPr="00402A38" w:rsidRDefault="00402A38" w:rsidP="00402A38">
            <w:pPr>
              <w:pStyle w:val="200"/>
              <w:spacing w:after="0"/>
              <w:jc w:val="both"/>
              <w:rPr>
                <w:color w:val="000000"/>
                <w:sz w:val="28"/>
                <w:szCs w:val="28"/>
                <w:lang w:val="uk-UA"/>
              </w:rPr>
            </w:pPr>
            <w:r w:rsidRPr="00402A38">
              <w:rPr>
                <w:color w:val="000000"/>
                <w:sz w:val="28"/>
                <w:szCs w:val="28"/>
                <w:lang w:val="uk-UA"/>
              </w:rPr>
              <w:t xml:space="preserve">Банк </w:t>
            </w:r>
            <w:proofErr w:type="spellStart"/>
            <w:r w:rsidRPr="00402A38">
              <w:rPr>
                <w:color w:val="000000"/>
                <w:sz w:val="28"/>
                <w:szCs w:val="28"/>
                <w:lang w:val="uk-UA"/>
              </w:rPr>
              <w:t>отримувача</w:t>
            </w:r>
            <w:proofErr w:type="spellEnd"/>
            <w:r w:rsidRPr="00402A38">
              <w:rPr>
                <w:color w:val="000000"/>
                <w:sz w:val="28"/>
                <w:szCs w:val="28"/>
                <w:lang w:val="uk-UA"/>
              </w:rPr>
              <w:t>:  Державна казначейська служба України, м. Київ.</w:t>
            </w:r>
          </w:p>
          <w:p w:rsidR="00402A38" w:rsidRPr="00402A38" w:rsidRDefault="00402A38" w:rsidP="00402A38">
            <w:pPr>
              <w:pStyle w:val="200"/>
              <w:spacing w:after="0"/>
              <w:jc w:val="both"/>
              <w:rPr>
                <w:color w:val="000000"/>
                <w:sz w:val="28"/>
                <w:szCs w:val="28"/>
                <w:lang w:val="uk-UA"/>
              </w:rPr>
            </w:pPr>
            <w:r w:rsidRPr="00402A38">
              <w:rPr>
                <w:color w:val="000000"/>
                <w:sz w:val="28"/>
                <w:szCs w:val="28"/>
                <w:lang w:val="uk-UA"/>
              </w:rPr>
              <w:t>Строк дії забезпечення тендерної пропозиції – не менше, ніж  90 днів з дати кінцевого строку подання тендерних пропозицій (відповідно до статті 253 Цивільного кодексу України розраховується з наступного дня після відповідної календарної дати або настання події, з якою пов’язано його початок). Банківська гарантія повинна бути оформленою в електронному вигляді, на бланку банку-гаранта та підписана керівником банку-гаранта або уповноваженою ним посадовою особою, з дотриманням вимог законодавства про електронний документообіг та кваліфікований електронний підпис (КЕП), тобто документ має бути підписано кваліфікованим електронним підписом (КЕП).</w:t>
            </w:r>
          </w:p>
          <w:p w:rsidR="009162E0" w:rsidRPr="00747034" w:rsidRDefault="00402A38" w:rsidP="00402A38">
            <w:pPr>
              <w:pStyle w:val="200"/>
              <w:spacing w:before="0" w:beforeAutospacing="0" w:after="0" w:afterAutospacing="0"/>
              <w:jc w:val="both"/>
              <w:rPr>
                <w:color w:val="000000"/>
                <w:sz w:val="28"/>
                <w:szCs w:val="28"/>
                <w:lang w:val="uk-UA"/>
              </w:rPr>
            </w:pPr>
            <w:r w:rsidRPr="00402A38">
              <w:rPr>
                <w:color w:val="000000"/>
                <w:sz w:val="28"/>
                <w:szCs w:val="28"/>
                <w:lang w:val="uk-UA"/>
              </w:rPr>
              <w:t>Учасник у складі тендерної пропозиції надає копію письмового договору, укладеного з банком, який видав банківську гарантію. Ненадання Учасником у складі тендерної пропозиції копії письмового договору, укладеного з банком, який видав банківську гарантію, приведе до відхилення тендерної пропозиції Учасника. Усі витрати, пов’язані з наданням забезпечення тендерної пропозиції, відшкодовуються за рахунок коштів учасника.</w:t>
            </w: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lastRenderedPageBreak/>
              <w:t>9.</w:t>
            </w: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Дата та час розкриття тендерних пропозицій</w:t>
            </w:r>
          </w:p>
        </w:tc>
        <w:tc>
          <w:tcPr>
            <w:tcW w:w="5918" w:type="dxa"/>
            <w:tcBorders>
              <w:top w:val="double" w:sz="4" w:space="0" w:color="auto"/>
              <w:left w:val="double" w:sz="4" w:space="0" w:color="auto"/>
              <w:bottom w:val="double" w:sz="4" w:space="0" w:color="auto"/>
              <w:right w:val="double" w:sz="4" w:space="0" w:color="auto"/>
            </w:tcBorders>
            <w:vAlign w:val="center"/>
            <w:hideMark/>
          </w:tcPr>
          <w:p w:rsidR="009162E0" w:rsidRPr="00747034" w:rsidRDefault="009162E0" w:rsidP="009744D0">
            <w:pPr>
              <w:pStyle w:val="200"/>
              <w:spacing w:before="0" w:beforeAutospacing="0" w:after="0" w:afterAutospacing="0"/>
              <w:rPr>
                <w:sz w:val="28"/>
                <w:szCs w:val="28"/>
                <w:lang w:val="uk-UA"/>
              </w:rPr>
            </w:pPr>
            <w:r w:rsidRPr="00747034">
              <w:rPr>
                <w:sz w:val="28"/>
                <w:szCs w:val="28"/>
                <w:lang w:val="uk-UA"/>
              </w:rPr>
              <w:t>Визначається електронною системою.</w:t>
            </w: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10.</w:t>
            </w: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Перелік критеріїв та методика оцінки пропозицій із зазначенням питомої ваги критеріїв:</w:t>
            </w:r>
          </w:p>
        </w:tc>
        <w:tc>
          <w:tcPr>
            <w:tcW w:w="5918" w:type="dxa"/>
            <w:tcBorders>
              <w:top w:val="double" w:sz="4" w:space="0" w:color="auto"/>
              <w:left w:val="double" w:sz="4" w:space="0" w:color="auto"/>
              <w:bottom w:val="double" w:sz="4" w:space="0" w:color="auto"/>
              <w:right w:val="double" w:sz="4" w:space="0" w:color="auto"/>
            </w:tcBorders>
            <w:vAlign w:val="center"/>
            <w:hideMark/>
          </w:tcPr>
          <w:p w:rsidR="009162E0" w:rsidRPr="00747034" w:rsidRDefault="009162E0" w:rsidP="009744D0">
            <w:pPr>
              <w:pStyle w:val="200"/>
              <w:spacing w:before="0" w:beforeAutospacing="0" w:after="0" w:afterAutospacing="0"/>
              <w:jc w:val="both"/>
              <w:rPr>
                <w:color w:val="000000"/>
                <w:sz w:val="28"/>
                <w:szCs w:val="28"/>
                <w:lang w:val="uk-UA"/>
              </w:rPr>
            </w:pPr>
            <w:r w:rsidRPr="00747034">
              <w:rPr>
                <w:color w:val="000000"/>
                <w:sz w:val="28"/>
                <w:szCs w:val="28"/>
                <w:lang w:val="uk-UA"/>
              </w:rPr>
              <w:t xml:space="preserve">Оцінка пропозицій здійснюється на основі єдиного критерію – ціна </w:t>
            </w:r>
            <w:r w:rsidRPr="00747034">
              <w:rPr>
                <w:i/>
                <w:color w:val="000000"/>
                <w:sz w:val="28"/>
                <w:szCs w:val="28"/>
                <w:lang w:val="uk-UA"/>
              </w:rPr>
              <w:t xml:space="preserve">(з врахуванням податку на додану вартість) </w:t>
            </w:r>
            <w:r w:rsidRPr="00747034">
              <w:rPr>
                <w:color w:val="000000"/>
                <w:sz w:val="28"/>
                <w:szCs w:val="28"/>
                <w:lang w:val="uk-UA"/>
              </w:rPr>
              <w:t>– 100%.</w:t>
            </w: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11.</w:t>
            </w: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 xml:space="preserve">Розмір мінімального кроку пониження ціни під час електронного аукціону </w:t>
            </w:r>
            <w:r w:rsidRPr="00586F56">
              <w:rPr>
                <w:i/>
                <w:color w:val="000000"/>
                <w:sz w:val="28"/>
                <w:szCs w:val="28"/>
                <w:shd w:val="clear" w:color="auto" w:fill="FFFFFF"/>
                <w:lang w:val="uk-UA"/>
              </w:rPr>
              <w:t xml:space="preserve">(в межах від 0,5 відсотка до 3 відсотків або в грошових одиницях очікуваної вартості </w:t>
            </w:r>
            <w:r w:rsidRPr="00586F56">
              <w:rPr>
                <w:i/>
                <w:color w:val="000000"/>
                <w:sz w:val="28"/>
                <w:szCs w:val="28"/>
                <w:shd w:val="clear" w:color="auto" w:fill="FFFFFF"/>
                <w:lang w:val="uk-UA"/>
              </w:rPr>
              <w:lastRenderedPageBreak/>
              <w:t>закупівлі)</w:t>
            </w:r>
            <w:r w:rsidRPr="00586F56">
              <w:rPr>
                <w:color w:val="000000"/>
                <w:sz w:val="28"/>
                <w:szCs w:val="28"/>
                <w:shd w:val="clear" w:color="auto" w:fill="FFFFFF"/>
                <w:lang w:val="uk-UA"/>
              </w:rPr>
              <w:t>:</w:t>
            </w:r>
          </w:p>
        </w:tc>
        <w:tc>
          <w:tcPr>
            <w:tcW w:w="5918" w:type="dxa"/>
            <w:tcBorders>
              <w:top w:val="double" w:sz="4" w:space="0" w:color="auto"/>
              <w:left w:val="double" w:sz="4" w:space="0" w:color="auto"/>
              <w:bottom w:val="double" w:sz="4" w:space="0" w:color="auto"/>
              <w:right w:val="double" w:sz="4" w:space="0" w:color="auto"/>
            </w:tcBorders>
            <w:vAlign w:val="center"/>
            <w:hideMark/>
          </w:tcPr>
          <w:p w:rsidR="009162E0" w:rsidRPr="00747034" w:rsidRDefault="009162E0" w:rsidP="00C644C6">
            <w:pPr>
              <w:spacing w:after="0" w:line="240" w:lineRule="auto"/>
              <w:jc w:val="both"/>
              <w:rPr>
                <w:rFonts w:ascii="Times New Roman" w:hAnsi="Times New Roman"/>
                <w:color w:val="000000"/>
                <w:sz w:val="28"/>
                <w:szCs w:val="28"/>
                <w:lang w:val="uk-UA"/>
              </w:rPr>
            </w:pPr>
            <w:r w:rsidRPr="00747034">
              <w:rPr>
                <w:rFonts w:ascii="Times New Roman" w:hAnsi="Times New Roman"/>
                <w:color w:val="000000"/>
                <w:sz w:val="28"/>
                <w:szCs w:val="28"/>
                <w:lang w:val="uk-UA"/>
              </w:rPr>
              <w:lastRenderedPageBreak/>
              <w:t xml:space="preserve">Розмір мінімального кроку пониження ціни – </w:t>
            </w:r>
            <w:r w:rsidR="00C644C6">
              <w:rPr>
                <w:rFonts w:ascii="Times New Roman" w:hAnsi="Times New Roman"/>
                <w:color w:val="000000"/>
                <w:sz w:val="28"/>
                <w:szCs w:val="28"/>
                <w:lang w:val="uk-UA"/>
              </w:rPr>
              <w:t>14733</w:t>
            </w:r>
            <w:r>
              <w:rPr>
                <w:rFonts w:ascii="Times New Roman" w:hAnsi="Times New Roman"/>
                <w:color w:val="000000"/>
                <w:sz w:val="28"/>
                <w:szCs w:val="28"/>
                <w:lang w:val="uk-UA"/>
              </w:rPr>
              <w:t>,00</w:t>
            </w:r>
            <w:r w:rsidRPr="00747034">
              <w:rPr>
                <w:rFonts w:ascii="Times New Roman" w:hAnsi="Times New Roman"/>
                <w:color w:val="000000"/>
                <w:sz w:val="28"/>
                <w:szCs w:val="28"/>
                <w:lang w:val="uk-UA"/>
              </w:rPr>
              <w:t xml:space="preserve"> грн. (</w:t>
            </w:r>
            <w:r>
              <w:rPr>
                <w:rFonts w:ascii="Times New Roman" w:hAnsi="Times New Roman"/>
                <w:color w:val="000000"/>
                <w:sz w:val="28"/>
                <w:szCs w:val="28"/>
                <w:lang w:val="uk-UA"/>
              </w:rPr>
              <w:t xml:space="preserve">0,5 </w:t>
            </w:r>
            <w:r w:rsidRPr="00747034">
              <w:rPr>
                <w:rFonts w:ascii="Times New Roman" w:hAnsi="Times New Roman"/>
                <w:color w:val="000000"/>
                <w:sz w:val="28"/>
                <w:szCs w:val="28"/>
                <w:lang w:val="uk-UA"/>
              </w:rPr>
              <w:t>%).</w:t>
            </w:r>
          </w:p>
        </w:tc>
      </w:tr>
      <w:tr w:rsidR="009162E0" w:rsidRPr="00C26D4B"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lastRenderedPageBreak/>
              <w:t>12.</w:t>
            </w: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r w:rsidRPr="00586F56">
              <w:rPr>
                <w:color w:val="000000"/>
                <w:sz w:val="28"/>
                <w:szCs w:val="28"/>
                <w:shd w:val="clear" w:color="auto" w:fill="FFFFFF"/>
                <w:lang w:val="uk-UA"/>
              </w:rPr>
              <w:t xml:space="preserve">Розмір та умови надання забезпечення виконання договору про закупівлю </w:t>
            </w:r>
            <w:r w:rsidRPr="00586F56">
              <w:rPr>
                <w:i/>
                <w:color w:val="000000"/>
                <w:sz w:val="28"/>
                <w:szCs w:val="28"/>
                <w:shd w:val="clear" w:color="auto" w:fill="FFFFFF"/>
                <w:lang w:val="uk-UA"/>
              </w:rPr>
              <w:t>(якщо замовник вимагає його надати)</w:t>
            </w:r>
            <w:r w:rsidRPr="00586F56">
              <w:rPr>
                <w:color w:val="000000"/>
                <w:sz w:val="28"/>
                <w:szCs w:val="28"/>
                <w:shd w:val="clear" w:color="auto" w:fill="FFFFFF"/>
                <w:lang w:val="uk-UA"/>
              </w:rPr>
              <w:t>:</w:t>
            </w:r>
          </w:p>
        </w:tc>
        <w:tc>
          <w:tcPr>
            <w:tcW w:w="5918" w:type="dxa"/>
            <w:tcBorders>
              <w:top w:val="double" w:sz="4" w:space="0" w:color="auto"/>
              <w:left w:val="double" w:sz="4" w:space="0" w:color="auto"/>
              <w:bottom w:val="double" w:sz="4" w:space="0" w:color="auto"/>
              <w:right w:val="double" w:sz="4" w:space="0" w:color="auto"/>
            </w:tcBorders>
            <w:vAlign w:val="center"/>
            <w:hideMark/>
          </w:tcPr>
          <w:p w:rsidR="004845BE" w:rsidRPr="00385D7F" w:rsidRDefault="009162E0" w:rsidP="004845BE">
            <w:pPr>
              <w:pStyle w:val="200"/>
              <w:spacing w:after="0"/>
              <w:jc w:val="both"/>
              <w:rPr>
                <w:color w:val="000000"/>
                <w:sz w:val="28"/>
                <w:szCs w:val="28"/>
              </w:rPr>
            </w:pPr>
            <w:r w:rsidRPr="00385D7F">
              <w:rPr>
                <w:color w:val="000000"/>
                <w:sz w:val="28"/>
                <w:szCs w:val="28"/>
                <w:lang w:val="uk-UA"/>
              </w:rPr>
              <w:t xml:space="preserve">Забезпечення виконання договору </w:t>
            </w:r>
            <w:r w:rsidR="004845BE">
              <w:rPr>
                <w:color w:val="000000"/>
                <w:sz w:val="28"/>
                <w:szCs w:val="28"/>
                <w:lang w:val="uk-UA"/>
              </w:rPr>
              <w:t>не вимагається.</w:t>
            </w:r>
          </w:p>
          <w:p w:rsidR="009162E0" w:rsidRPr="00385D7F" w:rsidRDefault="009162E0" w:rsidP="00385D7F">
            <w:pPr>
              <w:pStyle w:val="200"/>
              <w:spacing w:before="0" w:beforeAutospacing="0" w:after="0" w:afterAutospacing="0"/>
              <w:jc w:val="both"/>
              <w:rPr>
                <w:color w:val="000000"/>
                <w:sz w:val="28"/>
                <w:szCs w:val="28"/>
              </w:rPr>
            </w:pP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r w:rsidRPr="00586F56">
              <w:rPr>
                <w:b/>
                <w:color w:val="000000"/>
                <w:sz w:val="28"/>
                <w:szCs w:val="28"/>
                <w:lang w:val="uk-UA"/>
              </w:rPr>
              <w:t>13.</w:t>
            </w:r>
          </w:p>
        </w:tc>
        <w:tc>
          <w:tcPr>
            <w:tcW w:w="3299"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r w:rsidRPr="00586F56">
              <w:rPr>
                <w:color w:val="000000"/>
                <w:sz w:val="28"/>
                <w:szCs w:val="28"/>
                <w:lang w:val="uk-UA"/>
              </w:rPr>
              <w:t>Математична формула для розрахунку приведеної ціни (у разі її застосування)</w:t>
            </w:r>
          </w:p>
        </w:tc>
        <w:tc>
          <w:tcPr>
            <w:tcW w:w="5918" w:type="dxa"/>
            <w:tcBorders>
              <w:top w:val="double" w:sz="4" w:space="0" w:color="auto"/>
              <w:left w:val="double" w:sz="4" w:space="0" w:color="auto"/>
              <w:bottom w:val="double" w:sz="4" w:space="0" w:color="auto"/>
              <w:right w:val="double" w:sz="4" w:space="0" w:color="auto"/>
            </w:tcBorders>
            <w:vAlign w:val="center"/>
            <w:hideMark/>
          </w:tcPr>
          <w:p w:rsidR="009162E0" w:rsidRPr="00747034" w:rsidRDefault="009162E0" w:rsidP="009744D0">
            <w:pPr>
              <w:spacing w:after="0" w:line="240" w:lineRule="auto"/>
              <w:jc w:val="both"/>
              <w:rPr>
                <w:rFonts w:ascii="Times New Roman" w:hAnsi="Times New Roman"/>
                <w:color w:val="000000"/>
                <w:sz w:val="28"/>
                <w:szCs w:val="28"/>
                <w:lang w:val="uk-UA"/>
              </w:rPr>
            </w:pPr>
            <w:r w:rsidRPr="00747034">
              <w:rPr>
                <w:rFonts w:ascii="Times New Roman" w:hAnsi="Times New Roman"/>
                <w:color w:val="000000"/>
                <w:sz w:val="28"/>
                <w:szCs w:val="28"/>
                <w:lang w:val="uk-UA"/>
              </w:rPr>
              <w:t>Не застосовується</w:t>
            </w: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b/>
                <w:color w:val="000000"/>
                <w:sz w:val="28"/>
                <w:szCs w:val="28"/>
                <w:lang w:val="uk-UA"/>
              </w:rPr>
            </w:pPr>
          </w:p>
        </w:tc>
        <w:tc>
          <w:tcPr>
            <w:tcW w:w="9217" w:type="dxa"/>
            <w:gridSpan w:val="3"/>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spacing w:after="0" w:line="240" w:lineRule="auto"/>
              <w:jc w:val="both"/>
              <w:rPr>
                <w:rFonts w:ascii="Times New Roman" w:hAnsi="Times New Roman"/>
                <w:color w:val="000000"/>
                <w:sz w:val="28"/>
                <w:szCs w:val="28"/>
                <w:lang w:val="uk-UA"/>
              </w:rPr>
            </w:pP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jc w:val="center"/>
              <w:rPr>
                <w:color w:val="000000"/>
                <w:sz w:val="28"/>
                <w:szCs w:val="28"/>
                <w:lang w:val="uk-UA"/>
              </w:rPr>
            </w:pPr>
          </w:p>
        </w:tc>
        <w:tc>
          <w:tcPr>
            <w:tcW w:w="3232"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jc w:val="both"/>
              <w:rPr>
                <w:color w:val="000000"/>
                <w:sz w:val="28"/>
                <w:szCs w:val="28"/>
                <w:lang w:val="uk-UA"/>
              </w:rPr>
            </w:pPr>
          </w:p>
        </w:tc>
        <w:tc>
          <w:tcPr>
            <w:tcW w:w="5985"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spacing w:after="0" w:line="240" w:lineRule="auto"/>
              <w:jc w:val="both"/>
              <w:rPr>
                <w:rFonts w:ascii="Times New Roman" w:hAnsi="Times New Roman"/>
                <w:b/>
                <w:bCs/>
                <w:color w:val="000000"/>
                <w:sz w:val="28"/>
                <w:szCs w:val="28"/>
                <w:lang w:val="uk-UA"/>
              </w:rPr>
            </w:pPr>
          </w:p>
        </w:tc>
      </w:tr>
      <w:tr w:rsidR="009162E0" w:rsidRPr="00586F56" w:rsidTr="009744D0">
        <w:trPr>
          <w:jc w:val="center"/>
        </w:trPr>
        <w:tc>
          <w:tcPr>
            <w:tcW w:w="637"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center"/>
              <w:rPr>
                <w:color w:val="000000"/>
                <w:sz w:val="28"/>
                <w:szCs w:val="28"/>
                <w:lang w:val="uk-UA"/>
              </w:rPr>
            </w:pPr>
          </w:p>
        </w:tc>
        <w:tc>
          <w:tcPr>
            <w:tcW w:w="3232" w:type="dxa"/>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pStyle w:val="200"/>
              <w:spacing w:before="0" w:beforeAutospacing="0" w:after="0" w:afterAutospacing="0"/>
              <w:jc w:val="both"/>
              <w:rPr>
                <w:color w:val="000000"/>
                <w:sz w:val="28"/>
                <w:szCs w:val="28"/>
                <w:lang w:val="uk-UA"/>
              </w:rPr>
            </w:pPr>
          </w:p>
        </w:tc>
        <w:tc>
          <w:tcPr>
            <w:tcW w:w="5985" w:type="dxa"/>
            <w:gridSpan w:val="2"/>
            <w:tcBorders>
              <w:top w:val="double" w:sz="4" w:space="0" w:color="auto"/>
              <w:left w:val="double" w:sz="4" w:space="0" w:color="auto"/>
              <w:bottom w:val="double" w:sz="4" w:space="0" w:color="auto"/>
              <w:right w:val="double" w:sz="4" w:space="0" w:color="auto"/>
            </w:tcBorders>
            <w:hideMark/>
          </w:tcPr>
          <w:p w:rsidR="009162E0" w:rsidRPr="00586F56" w:rsidRDefault="009162E0" w:rsidP="009744D0">
            <w:pPr>
              <w:widowControl w:val="0"/>
              <w:tabs>
                <w:tab w:val="left" w:pos="0"/>
                <w:tab w:val="left" w:pos="284"/>
                <w:tab w:val="left" w:pos="851"/>
              </w:tabs>
              <w:spacing w:after="0" w:line="240" w:lineRule="auto"/>
              <w:jc w:val="both"/>
              <w:rPr>
                <w:rFonts w:ascii="Times New Roman" w:hAnsi="Times New Roman"/>
                <w:color w:val="000000"/>
                <w:sz w:val="28"/>
                <w:szCs w:val="28"/>
                <w:lang w:val="uk-UA"/>
              </w:rPr>
            </w:pPr>
          </w:p>
        </w:tc>
      </w:tr>
    </w:tbl>
    <w:p w:rsidR="00FC0BB4" w:rsidRDefault="00FC0BB4" w:rsidP="00FC0BB4">
      <w:pPr>
        <w:rPr>
          <w:sz w:val="28"/>
          <w:szCs w:val="28"/>
          <w:lang w:val="uk-UA"/>
        </w:rPr>
      </w:pPr>
    </w:p>
    <w:p w:rsidR="009C3B81" w:rsidRDefault="00FC0BB4" w:rsidP="00FC0BB4">
      <w:r w:rsidRPr="00747034">
        <w:rPr>
          <w:rFonts w:ascii="Times New Roman" w:hAnsi="Times New Roman"/>
          <w:sz w:val="28"/>
          <w:szCs w:val="28"/>
          <w:lang w:val="uk-UA"/>
        </w:rPr>
        <w:t xml:space="preserve">Уповноважена особа                                         </w:t>
      </w:r>
      <w:r>
        <w:rPr>
          <w:rFonts w:ascii="Times New Roman" w:hAnsi="Times New Roman"/>
          <w:sz w:val="28"/>
          <w:szCs w:val="28"/>
          <w:lang w:val="uk-UA"/>
        </w:rPr>
        <w:t xml:space="preserve">                  Галина УНІЯТ</w:t>
      </w:r>
    </w:p>
    <w:sectPr w:rsidR="009C3B81" w:rsidSect="009C3B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FC0BB4"/>
    <w:rsid w:val="00002760"/>
    <w:rsid w:val="0001160B"/>
    <w:rsid w:val="00011DE1"/>
    <w:rsid w:val="00012A91"/>
    <w:rsid w:val="000140FC"/>
    <w:rsid w:val="00023D29"/>
    <w:rsid w:val="0002486C"/>
    <w:rsid w:val="0002507D"/>
    <w:rsid w:val="00026D82"/>
    <w:rsid w:val="00027915"/>
    <w:rsid w:val="00036240"/>
    <w:rsid w:val="00063730"/>
    <w:rsid w:val="00064D9C"/>
    <w:rsid w:val="00066201"/>
    <w:rsid w:val="00066B7D"/>
    <w:rsid w:val="0007390A"/>
    <w:rsid w:val="00083B43"/>
    <w:rsid w:val="00093242"/>
    <w:rsid w:val="000A18C8"/>
    <w:rsid w:val="000A4FE7"/>
    <w:rsid w:val="000A737F"/>
    <w:rsid w:val="000B533A"/>
    <w:rsid w:val="000B59E3"/>
    <w:rsid w:val="000C05BE"/>
    <w:rsid w:val="000C126C"/>
    <w:rsid w:val="000C343D"/>
    <w:rsid w:val="000C391F"/>
    <w:rsid w:val="000C6414"/>
    <w:rsid w:val="000C6DF4"/>
    <w:rsid w:val="000D07CA"/>
    <w:rsid w:val="000D2E1D"/>
    <w:rsid w:val="000E5E7A"/>
    <w:rsid w:val="000F0FB1"/>
    <w:rsid w:val="000F1B1C"/>
    <w:rsid w:val="000F26FA"/>
    <w:rsid w:val="000F6D7C"/>
    <w:rsid w:val="000F76DA"/>
    <w:rsid w:val="00102CD2"/>
    <w:rsid w:val="001055AB"/>
    <w:rsid w:val="00112749"/>
    <w:rsid w:val="00116ED3"/>
    <w:rsid w:val="001209BE"/>
    <w:rsid w:val="001318F1"/>
    <w:rsid w:val="001328A7"/>
    <w:rsid w:val="00140607"/>
    <w:rsid w:val="0014080A"/>
    <w:rsid w:val="001420BD"/>
    <w:rsid w:val="00142A3F"/>
    <w:rsid w:val="00143615"/>
    <w:rsid w:val="00143ACE"/>
    <w:rsid w:val="00144D5D"/>
    <w:rsid w:val="0015210E"/>
    <w:rsid w:val="00160FA1"/>
    <w:rsid w:val="0017365E"/>
    <w:rsid w:val="001835D9"/>
    <w:rsid w:val="00190400"/>
    <w:rsid w:val="00191A28"/>
    <w:rsid w:val="00196F97"/>
    <w:rsid w:val="001A4B05"/>
    <w:rsid w:val="001A4C1B"/>
    <w:rsid w:val="001A4E2F"/>
    <w:rsid w:val="001A6F76"/>
    <w:rsid w:val="001B34DC"/>
    <w:rsid w:val="001B56CA"/>
    <w:rsid w:val="001B619D"/>
    <w:rsid w:val="001B7CCC"/>
    <w:rsid w:val="001C2D7A"/>
    <w:rsid w:val="001C5F6F"/>
    <w:rsid w:val="001E4521"/>
    <w:rsid w:val="001E5C2B"/>
    <w:rsid w:val="001F0651"/>
    <w:rsid w:val="001F375F"/>
    <w:rsid w:val="00200856"/>
    <w:rsid w:val="0020273A"/>
    <w:rsid w:val="0021304F"/>
    <w:rsid w:val="002134B3"/>
    <w:rsid w:val="0022041C"/>
    <w:rsid w:val="00220CAE"/>
    <w:rsid w:val="002213DD"/>
    <w:rsid w:val="00221B6E"/>
    <w:rsid w:val="00221F1A"/>
    <w:rsid w:val="002220AC"/>
    <w:rsid w:val="00224409"/>
    <w:rsid w:val="00225C24"/>
    <w:rsid w:val="00225D07"/>
    <w:rsid w:val="0022723C"/>
    <w:rsid w:val="00227C70"/>
    <w:rsid w:val="0023119F"/>
    <w:rsid w:val="00232D6A"/>
    <w:rsid w:val="00236FF1"/>
    <w:rsid w:val="00242E13"/>
    <w:rsid w:val="00254CA2"/>
    <w:rsid w:val="002561C3"/>
    <w:rsid w:val="00256403"/>
    <w:rsid w:val="00257711"/>
    <w:rsid w:val="00265298"/>
    <w:rsid w:val="00266A41"/>
    <w:rsid w:val="002764AF"/>
    <w:rsid w:val="0028375E"/>
    <w:rsid w:val="0029141E"/>
    <w:rsid w:val="0029353C"/>
    <w:rsid w:val="002A217D"/>
    <w:rsid w:val="002A7A19"/>
    <w:rsid w:val="002B1DF3"/>
    <w:rsid w:val="002B2CF9"/>
    <w:rsid w:val="002B4F9F"/>
    <w:rsid w:val="002C4D55"/>
    <w:rsid w:val="002D17AE"/>
    <w:rsid w:val="002D704C"/>
    <w:rsid w:val="002E0696"/>
    <w:rsid w:val="002E4DD1"/>
    <w:rsid w:val="002F1E28"/>
    <w:rsid w:val="002F638D"/>
    <w:rsid w:val="002F7B96"/>
    <w:rsid w:val="00302926"/>
    <w:rsid w:val="00303E88"/>
    <w:rsid w:val="003053F1"/>
    <w:rsid w:val="00306DCB"/>
    <w:rsid w:val="0031019A"/>
    <w:rsid w:val="00311E0A"/>
    <w:rsid w:val="00312539"/>
    <w:rsid w:val="0032052A"/>
    <w:rsid w:val="003224C5"/>
    <w:rsid w:val="00323008"/>
    <w:rsid w:val="00327FE1"/>
    <w:rsid w:val="003338BC"/>
    <w:rsid w:val="00333F4F"/>
    <w:rsid w:val="00341391"/>
    <w:rsid w:val="00343E1B"/>
    <w:rsid w:val="00344E21"/>
    <w:rsid w:val="00345D7C"/>
    <w:rsid w:val="0034609C"/>
    <w:rsid w:val="00364F8F"/>
    <w:rsid w:val="003660BE"/>
    <w:rsid w:val="003673E9"/>
    <w:rsid w:val="00371021"/>
    <w:rsid w:val="00373630"/>
    <w:rsid w:val="00374453"/>
    <w:rsid w:val="00377761"/>
    <w:rsid w:val="003829A6"/>
    <w:rsid w:val="00385D7F"/>
    <w:rsid w:val="00394E9F"/>
    <w:rsid w:val="003A5C9A"/>
    <w:rsid w:val="003B5150"/>
    <w:rsid w:val="003B52F2"/>
    <w:rsid w:val="003C0A6C"/>
    <w:rsid w:val="003D02F1"/>
    <w:rsid w:val="003D2D8F"/>
    <w:rsid w:val="003D44BF"/>
    <w:rsid w:val="003D4A4C"/>
    <w:rsid w:val="003D6424"/>
    <w:rsid w:val="003E2C26"/>
    <w:rsid w:val="003E4189"/>
    <w:rsid w:val="003E48B1"/>
    <w:rsid w:val="003E7DDE"/>
    <w:rsid w:val="00402A38"/>
    <w:rsid w:val="00411B2B"/>
    <w:rsid w:val="004142CB"/>
    <w:rsid w:val="00415F45"/>
    <w:rsid w:val="004237B3"/>
    <w:rsid w:val="00424C47"/>
    <w:rsid w:val="00431594"/>
    <w:rsid w:val="00435942"/>
    <w:rsid w:val="00436214"/>
    <w:rsid w:val="004476A6"/>
    <w:rsid w:val="00454CD2"/>
    <w:rsid w:val="00460170"/>
    <w:rsid w:val="00460BA6"/>
    <w:rsid w:val="00464E8E"/>
    <w:rsid w:val="00466253"/>
    <w:rsid w:val="00470BDD"/>
    <w:rsid w:val="00471FA1"/>
    <w:rsid w:val="00472A2C"/>
    <w:rsid w:val="004766EC"/>
    <w:rsid w:val="00476EA2"/>
    <w:rsid w:val="00476FD8"/>
    <w:rsid w:val="004817F0"/>
    <w:rsid w:val="004845BE"/>
    <w:rsid w:val="0048799F"/>
    <w:rsid w:val="0049058D"/>
    <w:rsid w:val="0049740D"/>
    <w:rsid w:val="004A3BB0"/>
    <w:rsid w:val="004A694E"/>
    <w:rsid w:val="004B08DB"/>
    <w:rsid w:val="004B3426"/>
    <w:rsid w:val="004B711E"/>
    <w:rsid w:val="004C36AC"/>
    <w:rsid w:val="004C413B"/>
    <w:rsid w:val="004C4550"/>
    <w:rsid w:val="004C4629"/>
    <w:rsid w:val="004C7E1D"/>
    <w:rsid w:val="004D52F0"/>
    <w:rsid w:val="004D7710"/>
    <w:rsid w:val="004E1148"/>
    <w:rsid w:val="004E6876"/>
    <w:rsid w:val="004F3891"/>
    <w:rsid w:val="004F5A65"/>
    <w:rsid w:val="00506968"/>
    <w:rsid w:val="00506BCA"/>
    <w:rsid w:val="00506E6F"/>
    <w:rsid w:val="0051358A"/>
    <w:rsid w:val="00513A5F"/>
    <w:rsid w:val="00516258"/>
    <w:rsid w:val="005170EE"/>
    <w:rsid w:val="005215C9"/>
    <w:rsid w:val="00525BEB"/>
    <w:rsid w:val="00541DC0"/>
    <w:rsid w:val="005441D3"/>
    <w:rsid w:val="00545660"/>
    <w:rsid w:val="00547F0E"/>
    <w:rsid w:val="00551868"/>
    <w:rsid w:val="005540F8"/>
    <w:rsid w:val="0057051A"/>
    <w:rsid w:val="00571B1B"/>
    <w:rsid w:val="00573E5E"/>
    <w:rsid w:val="00584D0F"/>
    <w:rsid w:val="00585E9C"/>
    <w:rsid w:val="0059674E"/>
    <w:rsid w:val="00596C0D"/>
    <w:rsid w:val="005A3740"/>
    <w:rsid w:val="005A3FC7"/>
    <w:rsid w:val="005A4ACC"/>
    <w:rsid w:val="005A71E8"/>
    <w:rsid w:val="005A7C06"/>
    <w:rsid w:val="005B0276"/>
    <w:rsid w:val="005B222B"/>
    <w:rsid w:val="005B7B04"/>
    <w:rsid w:val="005C481E"/>
    <w:rsid w:val="005C53D0"/>
    <w:rsid w:val="005C63B9"/>
    <w:rsid w:val="005C6D89"/>
    <w:rsid w:val="005C6E8B"/>
    <w:rsid w:val="005D682A"/>
    <w:rsid w:val="005F5803"/>
    <w:rsid w:val="00600860"/>
    <w:rsid w:val="00605A20"/>
    <w:rsid w:val="00610AC6"/>
    <w:rsid w:val="0061697B"/>
    <w:rsid w:val="00617233"/>
    <w:rsid w:val="00622EB6"/>
    <w:rsid w:val="00623854"/>
    <w:rsid w:val="006245C7"/>
    <w:rsid w:val="0062724B"/>
    <w:rsid w:val="00630420"/>
    <w:rsid w:val="006348BB"/>
    <w:rsid w:val="00634A54"/>
    <w:rsid w:val="00645208"/>
    <w:rsid w:val="00654F0D"/>
    <w:rsid w:val="0065668A"/>
    <w:rsid w:val="00663164"/>
    <w:rsid w:val="00664567"/>
    <w:rsid w:val="00667A53"/>
    <w:rsid w:val="006753C4"/>
    <w:rsid w:val="00676C44"/>
    <w:rsid w:val="00682774"/>
    <w:rsid w:val="00687767"/>
    <w:rsid w:val="00693D1C"/>
    <w:rsid w:val="006A4B07"/>
    <w:rsid w:val="006A540F"/>
    <w:rsid w:val="006B3D11"/>
    <w:rsid w:val="006C2B45"/>
    <w:rsid w:val="006C428C"/>
    <w:rsid w:val="006C5FE2"/>
    <w:rsid w:val="006C7DB0"/>
    <w:rsid w:val="006D0E2C"/>
    <w:rsid w:val="006E3738"/>
    <w:rsid w:val="006F0E31"/>
    <w:rsid w:val="006F1FDB"/>
    <w:rsid w:val="006F6323"/>
    <w:rsid w:val="006F653D"/>
    <w:rsid w:val="006F701F"/>
    <w:rsid w:val="00701371"/>
    <w:rsid w:val="007033E6"/>
    <w:rsid w:val="00703552"/>
    <w:rsid w:val="00703941"/>
    <w:rsid w:val="0071570F"/>
    <w:rsid w:val="007168D7"/>
    <w:rsid w:val="007214A2"/>
    <w:rsid w:val="00730E1D"/>
    <w:rsid w:val="00735C1E"/>
    <w:rsid w:val="00741548"/>
    <w:rsid w:val="0074239E"/>
    <w:rsid w:val="00744374"/>
    <w:rsid w:val="00750B90"/>
    <w:rsid w:val="007533C8"/>
    <w:rsid w:val="007576EE"/>
    <w:rsid w:val="0076671A"/>
    <w:rsid w:val="0078080E"/>
    <w:rsid w:val="0078533F"/>
    <w:rsid w:val="007935A7"/>
    <w:rsid w:val="007B62B2"/>
    <w:rsid w:val="007B78F9"/>
    <w:rsid w:val="007C6466"/>
    <w:rsid w:val="007D595C"/>
    <w:rsid w:val="007E177C"/>
    <w:rsid w:val="007E1EC7"/>
    <w:rsid w:val="007E37D5"/>
    <w:rsid w:val="007E4DCB"/>
    <w:rsid w:val="007F134A"/>
    <w:rsid w:val="007F1443"/>
    <w:rsid w:val="007F529E"/>
    <w:rsid w:val="007F533B"/>
    <w:rsid w:val="007F7743"/>
    <w:rsid w:val="00800B90"/>
    <w:rsid w:val="008030E7"/>
    <w:rsid w:val="00803557"/>
    <w:rsid w:val="008044C5"/>
    <w:rsid w:val="008059A0"/>
    <w:rsid w:val="00820437"/>
    <w:rsid w:val="00824FC3"/>
    <w:rsid w:val="008271EA"/>
    <w:rsid w:val="00830070"/>
    <w:rsid w:val="00831D31"/>
    <w:rsid w:val="00850515"/>
    <w:rsid w:val="00852187"/>
    <w:rsid w:val="00853A5E"/>
    <w:rsid w:val="00862B0B"/>
    <w:rsid w:val="00864D6B"/>
    <w:rsid w:val="00886FA1"/>
    <w:rsid w:val="00892E8D"/>
    <w:rsid w:val="008A0A91"/>
    <w:rsid w:val="008A3DFF"/>
    <w:rsid w:val="008A74A2"/>
    <w:rsid w:val="008A7CEF"/>
    <w:rsid w:val="008C05FB"/>
    <w:rsid w:val="008C3AD7"/>
    <w:rsid w:val="008C73D4"/>
    <w:rsid w:val="008D3112"/>
    <w:rsid w:val="008D3976"/>
    <w:rsid w:val="008D759D"/>
    <w:rsid w:val="008E0644"/>
    <w:rsid w:val="008E457D"/>
    <w:rsid w:val="008F1C5A"/>
    <w:rsid w:val="008F2A44"/>
    <w:rsid w:val="008F339D"/>
    <w:rsid w:val="008F7A9D"/>
    <w:rsid w:val="00903188"/>
    <w:rsid w:val="00907E33"/>
    <w:rsid w:val="00914094"/>
    <w:rsid w:val="009162E0"/>
    <w:rsid w:val="00923468"/>
    <w:rsid w:val="00923C99"/>
    <w:rsid w:val="009249F3"/>
    <w:rsid w:val="009267D7"/>
    <w:rsid w:val="00930EAB"/>
    <w:rsid w:val="00933248"/>
    <w:rsid w:val="00935912"/>
    <w:rsid w:val="00935F8D"/>
    <w:rsid w:val="009430C2"/>
    <w:rsid w:val="00943413"/>
    <w:rsid w:val="0095028D"/>
    <w:rsid w:val="00955F92"/>
    <w:rsid w:val="00970137"/>
    <w:rsid w:val="00974226"/>
    <w:rsid w:val="009765E6"/>
    <w:rsid w:val="00977C73"/>
    <w:rsid w:val="0098251E"/>
    <w:rsid w:val="00982FFE"/>
    <w:rsid w:val="00983B0E"/>
    <w:rsid w:val="00983BF2"/>
    <w:rsid w:val="00984735"/>
    <w:rsid w:val="009914FD"/>
    <w:rsid w:val="009A511D"/>
    <w:rsid w:val="009A6128"/>
    <w:rsid w:val="009B2229"/>
    <w:rsid w:val="009B3309"/>
    <w:rsid w:val="009B62C8"/>
    <w:rsid w:val="009B724B"/>
    <w:rsid w:val="009C3B81"/>
    <w:rsid w:val="009D2F56"/>
    <w:rsid w:val="009D2FD4"/>
    <w:rsid w:val="009D6B6D"/>
    <w:rsid w:val="009D6BAB"/>
    <w:rsid w:val="009E33E5"/>
    <w:rsid w:val="009E3AD0"/>
    <w:rsid w:val="009E3CD6"/>
    <w:rsid w:val="009E516C"/>
    <w:rsid w:val="009E68E2"/>
    <w:rsid w:val="009F4FD3"/>
    <w:rsid w:val="009F5F06"/>
    <w:rsid w:val="009F7EF6"/>
    <w:rsid w:val="00A017CF"/>
    <w:rsid w:val="00A01AA3"/>
    <w:rsid w:val="00A06638"/>
    <w:rsid w:val="00A10206"/>
    <w:rsid w:val="00A13727"/>
    <w:rsid w:val="00A141C4"/>
    <w:rsid w:val="00A143DE"/>
    <w:rsid w:val="00A14F29"/>
    <w:rsid w:val="00A1563E"/>
    <w:rsid w:val="00A22F18"/>
    <w:rsid w:val="00A24F3A"/>
    <w:rsid w:val="00A26BF8"/>
    <w:rsid w:val="00A303BB"/>
    <w:rsid w:val="00A30AB2"/>
    <w:rsid w:val="00A31B23"/>
    <w:rsid w:val="00A31B28"/>
    <w:rsid w:val="00A31D0E"/>
    <w:rsid w:val="00A31E1E"/>
    <w:rsid w:val="00A33D9D"/>
    <w:rsid w:val="00A44357"/>
    <w:rsid w:val="00A5596A"/>
    <w:rsid w:val="00A636C9"/>
    <w:rsid w:val="00A6439E"/>
    <w:rsid w:val="00A67356"/>
    <w:rsid w:val="00A71914"/>
    <w:rsid w:val="00A74B1A"/>
    <w:rsid w:val="00A74CEF"/>
    <w:rsid w:val="00A81427"/>
    <w:rsid w:val="00A83EE5"/>
    <w:rsid w:val="00A91B6E"/>
    <w:rsid w:val="00AA0A1B"/>
    <w:rsid w:val="00AA3771"/>
    <w:rsid w:val="00AA4B4F"/>
    <w:rsid w:val="00AB1B7B"/>
    <w:rsid w:val="00AB6590"/>
    <w:rsid w:val="00AB7773"/>
    <w:rsid w:val="00AB7CEB"/>
    <w:rsid w:val="00AC0C55"/>
    <w:rsid w:val="00AC2B10"/>
    <w:rsid w:val="00AD0396"/>
    <w:rsid w:val="00AD0F3A"/>
    <w:rsid w:val="00AD79EC"/>
    <w:rsid w:val="00AE6903"/>
    <w:rsid w:val="00AE6F55"/>
    <w:rsid w:val="00AF5FE8"/>
    <w:rsid w:val="00B02A68"/>
    <w:rsid w:val="00B02A97"/>
    <w:rsid w:val="00B02C1C"/>
    <w:rsid w:val="00B05EDB"/>
    <w:rsid w:val="00B077C5"/>
    <w:rsid w:val="00B10A36"/>
    <w:rsid w:val="00B10FA1"/>
    <w:rsid w:val="00B13F11"/>
    <w:rsid w:val="00B22AC7"/>
    <w:rsid w:val="00B23858"/>
    <w:rsid w:val="00B24C75"/>
    <w:rsid w:val="00B3022F"/>
    <w:rsid w:val="00B33FCA"/>
    <w:rsid w:val="00B4363D"/>
    <w:rsid w:val="00B50BD6"/>
    <w:rsid w:val="00B51895"/>
    <w:rsid w:val="00B5212A"/>
    <w:rsid w:val="00B71781"/>
    <w:rsid w:val="00B72406"/>
    <w:rsid w:val="00B7450C"/>
    <w:rsid w:val="00B74916"/>
    <w:rsid w:val="00B74CFE"/>
    <w:rsid w:val="00B74FC2"/>
    <w:rsid w:val="00B76BC5"/>
    <w:rsid w:val="00B871E3"/>
    <w:rsid w:val="00B91EB2"/>
    <w:rsid w:val="00B9630C"/>
    <w:rsid w:val="00B963C1"/>
    <w:rsid w:val="00BA1395"/>
    <w:rsid w:val="00BA24C8"/>
    <w:rsid w:val="00BB0A4E"/>
    <w:rsid w:val="00BB1F9C"/>
    <w:rsid w:val="00BB2FD7"/>
    <w:rsid w:val="00BB427F"/>
    <w:rsid w:val="00BC0B83"/>
    <w:rsid w:val="00BC4E77"/>
    <w:rsid w:val="00BD1790"/>
    <w:rsid w:val="00BD50D3"/>
    <w:rsid w:val="00BE0826"/>
    <w:rsid w:val="00BE2884"/>
    <w:rsid w:val="00BE3664"/>
    <w:rsid w:val="00BF5B5E"/>
    <w:rsid w:val="00C03ACB"/>
    <w:rsid w:val="00C03D7D"/>
    <w:rsid w:val="00C04008"/>
    <w:rsid w:val="00C046A1"/>
    <w:rsid w:val="00C10930"/>
    <w:rsid w:val="00C141D5"/>
    <w:rsid w:val="00C14320"/>
    <w:rsid w:val="00C20CE6"/>
    <w:rsid w:val="00C21033"/>
    <w:rsid w:val="00C218E0"/>
    <w:rsid w:val="00C23711"/>
    <w:rsid w:val="00C238F9"/>
    <w:rsid w:val="00C26D4B"/>
    <w:rsid w:val="00C26E8B"/>
    <w:rsid w:val="00C363B7"/>
    <w:rsid w:val="00C40A37"/>
    <w:rsid w:val="00C44DEC"/>
    <w:rsid w:val="00C46A29"/>
    <w:rsid w:val="00C50B17"/>
    <w:rsid w:val="00C51FD0"/>
    <w:rsid w:val="00C561FE"/>
    <w:rsid w:val="00C56F57"/>
    <w:rsid w:val="00C609C9"/>
    <w:rsid w:val="00C61A78"/>
    <w:rsid w:val="00C6312E"/>
    <w:rsid w:val="00C63310"/>
    <w:rsid w:val="00C644C6"/>
    <w:rsid w:val="00C72298"/>
    <w:rsid w:val="00C73864"/>
    <w:rsid w:val="00C80CD4"/>
    <w:rsid w:val="00C813EE"/>
    <w:rsid w:val="00C84A00"/>
    <w:rsid w:val="00C85266"/>
    <w:rsid w:val="00C86A64"/>
    <w:rsid w:val="00C91799"/>
    <w:rsid w:val="00C97C3B"/>
    <w:rsid w:val="00CA6C14"/>
    <w:rsid w:val="00CB03F7"/>
    <w:rsid w:val="00CB2EDF"/>
    <w:rsid w:val="00CB316C"/>
    <w:rsid w:val="00CB67F8"/>
    <w:rsid w:val="00CC509D"/>
    <w:rsid w:val="00CD0E86"/>
    <w:rsid w:val="00CD1A5D"/>
    <w:rsid w:val="00CD1E66"/>
    <w:rsid w:val="00CD7516"/>
    <w:rsid w:val="00CE15F4"/>
    <w:rsid w:val="00CE213F"/>
    <w:rsid w:val="00CE41A5"/>
    <w:rsid w:val="00CE5A1E"/>
    <w:rsid w:val="00CF3984"/>
    <w:rsid w:val="00CF4D49"/>
    <w:rsid w:val="00D14C28"/>
    <w:rsid w:val="00D14CAF"/>
    <w:rsid w:val="00D2251D"/>
    <w:rsid w:val="00D23B95"/>
    <w:rsid w:val="00D30D14"/>
    <w:rsid w:val="00D340A8"/>
    <w:rsid w:val="00D36257"/>
    <w:rsid w:val="00D406E4"/>
    <w:rsid w:val="00D41C42"/>
    <w:rsid w:val="00D529A6"/>
    <w:rsid w:val="00D5449B"/>
    <w:rsid w:val="00D57BB5"/>
    <w:rsid w:val="00D60AB7"/>
    <w:rsid w:val="00D64CF5"/>
    <w:rsid w:val="00D67E83"/>
    <w:rsid w:val="00D8311F"/>
    <w:rsid w:val="00D84826"/>
    <w:rsid w:val="00D940C7"/>
    <w:rsid w:val="00D95F2D"/>
    <w:rsid w:val="00D9678F"/>
    <w:rsid w:val="00D9710A"/>
    <w:rsid w:val="00DA4725"/>
    <w:rsid w:val="00DA7B29"/>
    <w:rsid w:val="00DC47C0"/>
    <w:rsid w:val="00DC553F"/>
    <w:rsid w:val="00DC7224"/>
    <w:rsid w:val="00DC7B31"/>
    <w:rsid w:val="00DD16C4"/>
    <w:rsid w:val="00DE1A27"/>
    <w:rsid w:val="00DF2F2E"/>
    <w:rsid w:val="00DF61B8"/>
    <w:rsid w:val="00E0247C"/>
    <w:rsid w:val="00E03C5E"/>
    <w:rsid w:val="00E048B7"/>
    <w:rsid w:val="00E0721D"/>
    <w:rsid w:val="00E07A52"/>
    <w:rsid w:val="00E14164"/>
    <w:rsid w:val="00E21C7E"/>
    <w:rsid w:val="00E22EC7"/>
    <w:rsid w:val="00E2355A"/>
    <w:rsid w:val="00E306C2"/>
    <w:rsid w:val="00E30A77"/>
    <w:rsid w:val="00E40060"/>
    <w:rsid w:val="00E40973"/>
    <w:rsid w:val="00E44D2E"/>
    <w:rsid w:val="00E44DFB"/>
    <w:rsid w:val="00E52880"/>
    <w:rsid w:val="00E53864"/>
    <w:rsid w:val="00E54CCE"/>
    <w:rsid w:val="00E62649"/>
    <w:rsid w:val="00E63682"/>
    <w:rsid w:val="00E679EB"/>
    <w:rsid w:val="00E96AFA"/>
    <w:rsid w:val="00E972E1"/>
    <w:rsid w:val="00E97494"/>
    <w:rsid w:val="00E97E60"/>
    <w:rsid w:val="00EA2FDA"/>
    <w:rsid w:val="00EA4590"/>
    <w:rsid w:val="00EB05D4"/>
    <w:rsid w:val="00EC655A"/>
    <w:rsid w:val="00ED4E71"/>
    <w:rsid w:val="00ED59BA"/>
    <w:rsid w:val="00ED5C35"/>
    <w:rsid w:val="00ED5F07"/>
    <w:rsid w:val="00EF32E3"/>
    <w:rsid w:val="00F11477"/>
    <w:rsid w:val="00F15E96"/>
    <w:rsid w:val="00F178E7"/>
    <w:rsid w:val="00F2176A"/>
    <w:rsid w:val="00F238F4"/>
    <w:rsid w:val="00F23CDC"/>
    <w:rsid w:val="00F242D9"/>
    <w:rsid w:val="00F32D89"/>
    <w:rsid w:val="00F3304C"/>
    <w:rsid w:val="00F343AF"/>
    <w:rsid w:val="00F355EE"/>
    <w:rsid w:val="00F36FAD"/>
    <w:rsid w:val="00F42BAC"/>
    <w:rsid w:val="00F5170A"/>
    <w:rsid w:val="00F52848"/>
    <w:rsid w:val="00F64326"/>
    <w:rsid w:val="00F65535"/>
    <w:rsid w:val="00F71066"/>
    <w:rsid w:val="00F81534"/>
    <w:rsid w:val="00F85BEB"/>
    <w:rsid w:val="00F86EEC"/>
    <w:rsid w:val="00F97248"/>
    <w:rsid w:val="00FA6279"/>
    <w:rsid w:val="00FB0B2A"/>
    <w:rsid w:val="00FB3027"/>
    <w:rsid w:val="00FB321A"/>
    <w:rsid w:val="00FC0BB4"/>
    <w:rsid w:val="00FC1532"/>
    <w:rsid w:val="00FC6B03"/>
    <w:rsid w:val="00FD406B"/>
    <w:rsid w:val="00FD4640"/>
    <w:rsid w:val="00FD537B"/>
    <w:rsid w:val="00FE5EE2"/>
    <w:rsid w:val="00FE632D"/>
    <w:rsid w:val="00FF081F"/>
    <w:rsid w:val="00FF19B7"/>
    <w:rsid w:val="00FF3251"/>
    <w:rsid w:val="00FF3EE5"/>
    <w:rsid w:val="00FF7215"/>
    <w:rsid w:val="00FF7D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B4"/>
    <w:pPr>
      <w:spacing w:after="160" w:line="256" w:lineRule="auto"/>
    </w:pPr>
    <w:rPr>
      <w:rFonts w:ascii="Calibri" w:eastAsia="Calibri" w:hAnsi="Calibri" w:cs="Times New Roman"/>
      <w:lang w:val="ru-RU"/>
    </w:rPr>
  </w:style>
  <w:style w:type="paragraph" w:styleId="2">
    <w:name w:val="heading 2"/>
    <w:basedOn w:val="a"/>
    <w:next w:val="a"/>
    <w:link w:val="20"/>
    <w:uiPriority w:val="9"/>
    <w:unhideWhenUsed/>
    <w:qFormat/>
    <w:rsid w:val="00FC0BB4"/>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BB4"/>
    <w:rPr>
      <w:rFonts w:ascii="Calibri Light" w:eastAsia="Times New Roman" w:hAnsi="Calibri Light" w:cs="Times New Roman"/>
      <w:b/>
      <w:bCs/>
      <w:i/>
      <w:iCs/>
      <w:sz w:val="28"/>
      <w:szCs w:val="28"/>
      <w:lang w:val="ru-RU"/>
    </w:rPr>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FC0BB4"/>
    <w:rPr>
      <w:rFonts w:ascii="Times New Roman" w:eastAsia="Times New Roman" w:hAnsi="Times New Roman" w:cs="Times New Roman"/>
      <w:sz w:val="24"/>
      <w:szCs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FC0BB4"/>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200">
    <w:name w:val="20"/>
    <w:basedOn w:val="a"/>
    <w:uiPriority w:val="99"/>
    <w:qFormat/>
    <w:rsid w:val="00FC0B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FC0BB4"/>
  </w:style>
  <w:style w:type="character" w:styleId="a5">
    <w:name w:val="Strong"/>
    <w:basedOn w:val="a0"/>
    <w:qFormat/>
    <w:rsid w:val="00FC0B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4</Pages>
  <Words>3667</Words>
  <Characters>2091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d03-uniyat</dc:creator>
  <cp:lastModifiedBy>d03-uniyat</cp:lastModifiedBy>
  <cp:revision>19</cp:revision>
  <dcterms:created xsi:type="dcterms:W3CDTF">2021-03-23T09:11:00Z</dcterms:created>
  <dcterms:modified xsi:type="dcterms:W3CDTF">2024-03-01T08:35:00Z</dcterms:modified>
</cp:coreProperties>
</file>