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EB498" w14:textId="77777777" w:rsidR="00316DC5" w:rsidRDefault="00316DC5" w:rsidP="006F1755">
      <w:pPr>
        <w:spacing w:after="0" w:line="240" w:lineRule="auto"/>
        <w:jc w:val="center"/>
        <w:rPr>
          <w:rFonts w:ascii="Times New Roman" w:hAnsi="Times New Roman" w:cs="Times New Roman"/>
          <w:b/>
          <w:bCs/>
          <w:sz w:val="24"/>
          <w:szCs w:val="24"/>
          <w:lang w:val="uk-UA"/>
        </w:rPr>
      </w:pPr>
    </w:p>
    <w:p w14:paraId="6D02E9C8" w14:textId="7C1918B9" w:rsidR="00316DC5" w:rsidRDefault="00316DC5" w:rsidP="006F1755">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Перелік</w:t>
      </w:r>
      <w:r w:rsidR="002C0F94">
        <w:rPr>
          <w:rFonts w:ascii="Times New Roman" w:hAnsi="Times New Roman" w:cs="Times New Roman"/>
          <w:b/>
          <w:bCs/>
          <w:sz w:val="24"/>
          <w:szCs w:val="24"/>
          <w:lang w:val="uk-UA"/>
        </w:rPr>
        <w:t xml:space="preserve"> внесених</w:t>
      </w:r>
      <w:r>
        <w:rPr>
          <w:rFonts w:ascii="Times New Roman" w:hAnsi="Times New Roman" w:cs="Times New Roman"/>
          <w:b/>
          <w:bCs/>
          <w:sz w:val="24"/>
          <w:szCs w:val="24"/>
          <w:lang w:val="uk-UA"/>
        </w:rPr>
        <w:t xml:space="preserve"> змін</w:t>
      </w:r>
    </w:p>
    <w:p w14:paraId="163CA337" w14:textId="77777777" w:rsidR="008F72DF" w:rsidRPr="008F72DF" w:rsidRDefault="008F72DF" w:rsidP="008F72DF">
      <w:pPr>
        <w:spacing w:after="0" w:line="240" w:lineRule="auto"/>
        <w:jc w:val="center"/>
        <w:rPr>
          <w:rFonts w:ascii="Times New Roman" w:hAnsi="Times New Roman" w:cs="Times New Roman"/>
          <w:sz w:val="24"/>
          <w:szCs w:val="24"/>
          <w:lang w:val="uk-UA"/>
        </w:rPr>
      </w:pPr>
      <w:r w:rsidRPr="008F72DF">
        <w:rPr>
          <w:rFonts w:ascii="Times New Roman" w:hAnsi="Times New Roman" w:cs="Times New Roman"/>
          <w:sz w:val="24"/>
          <w:szCs w:val="24"/>
          <w:lang w:val="uk-UA"/>
        </w:rPr>
        <w:t>процедура закупівлі – відкриті торги з особливостями</w:t>
      </w:r>
    </w:p>
    <w:p w14:paraId="6589B5A1" w14:textId="31B58F1E" w:rsidR="008F72DF" w:rsidRPr="008F72DF" w:rsidRDefault="008F72DF" w:rsidP="008F72DF">
      <w:pPr>
        <w:spacing w:after="0" w:line="240" w:lineRule="auto"/>
        <w:jc w:val="center"/>
        <w:rPr>
          <w:rFonts w:ascii="Times New Roman" w:hAnsi="Times New Roman" w:cs="Times New Roman"/>
          <w:sz w:val="24"/>
          <w:szCs w:val="24"/>
          <w:lang w:val="uk-UA"/>
        </w:rPr>
      </w:pPr>
      <w:r w:rsidRPr="008F72DF">
        <w:rPr>
          <w:rFonts w:ascii="Times New Roman" w:hAnsi="Times New Roman" w:cs="Times New Roman"/>
          <w:sz w:val="24"/>
          <w:szCs w:val="24"/>
          <w:lang w:val="uk-UA"/>
        </w:rPr>
        <w:t>на закупівлю</w:t>
      </w:r>
    </w:p>
    <w:p w14:paraId="6F09D121" w14:textId="77777777" w:rsidR="008F72DF" w:rsidRPr="008F72DF" w:rsidRDefault="008F72DF" w:rsidP="008F72DF">
      <w:pPr>
        <w:spacing w:after="0" w:line="240" w:lineRule="auto"/>
        <w:jc w:val="center"/>
        <w:rPr>
          <w:rFonts w:ascii="Times New Roman" w:hAnsi="Times New Roman" w:cs="Times New Roman"/>
          <w:sz w:val="24"/>
          <w:szCs w:val="24"/>
          <w:lang w:val="uk-UA"/>
        </w:rPr>
      </w:pPr>
    </w:p>
    <w:p w14:paraId="66A8D18D" w14:textId="77777777" w:rsidR="008F72DF" w:rsidRPr="008F72DF" w:rsidRDefault="008F72DF" w:rsidP="008F72DF">
      <w:pPr>
        <w:spacing w:after="0" w:line="240" w:lineRule="auto"/>
        <w:jc w:val="center"/>
        <w:rPr>
          <w:rFonts w:ascii="Times New Roman" w:hAnsi="Times New Roman" w:cs="Times New Roman"/>
          <w:b/>
          <w:bCs/>
          <w:sz w:val="24"/>
          <w:szCs w:val="24"/>
          <w:lang w:val="uk-UA"/>
        </w:rPr>
      </w:pPr>
      <w:r w:rsidRPr="008F72DF">
        <w:rPr>
          <w:rFonts w:ascii="Times New Roman" w:hAnsi="Times New Roman" w:cs="Times New Roman"/>
          <w:b/>
          <w:bCs/>
          <w:sz w:val="24"/>
          <w:szCs w:val="24"/>
          <w:lang w:val="uk-UA"/>
        </w:rPr>
        <w:t xml:space="preserve">Електрична енергія </w:t>
      </w:r>
    </w:p>
    <w:p w14:paraId="757C0415" w14:textId="77777777" w:rsidR="008F72DF" w:rsidRPr="008F72DF" w:rsidRDefault="008F72DF" w:rsidP="008F72DF">
      <w:pPr>
        <w:spacing w:after="0" w:line="240" w:lineRule="auto"/>
        <w:jc w:val="center"/>
        <w:rPr>
          <w:rFonts w:ascii="Times New Roman" w:hAnsi="Times New Roman" w:cs="Times New Roman"/>
          <w:b/>
          <w:bCs/>
          <w:sz w:val="24"/>
          <w:szCs w:val="24"/>
          <w:lang w:val="uk-UA"/>
        </w:rPr>
      </w:pPr>
      <w:r w:rsidRPr="008F72DF">
        <w:rPr>
          <w:rFonts w:ascii="Times New Roman" w:hAnsi="Times New Roman" w:cs="Times New Roman"/>
          <w:b/>
          <w:bCs/>
          <w:sz w:val="24"/>
          <w:szCs w:val="24"/>
          <w:lang w:val="uk-UA"/>
        </w:rPr>
        <w:t>(ДК 021:2015 код 09310000-5 ‒ Електрична енергія)</w:t>
      </w:r>
    </w:p>
    <w:p w14:paraId="32BE77AB" w14:textId="77777777" w:rsidR="002E6E98" w:rsidRDefault="002E6E98" w:rsidP="006F1755">
      <w:pPr>
        <w:spacing w:after="0" w:line="240" w:lineRule="auto"/>
        <w:jc w:val="center"/>
        <w:rPr>
          <w:rFonts w:ascii="Times New Roman" w:eastAsia="Times New Roman" w:hAnsi="Times New Roman" w:cs="Times New Roman"/>
          <w:sz w:val="23"/>
          <w:szCs w:val="23"/>
        </w:rPr>
      </w:pPr>
    </w:p>
    <w:tbl>
      <w:tblPr>
        <w:tblStyle w:val="1"/>
        <w:tblW w:w="9345" w:type="dxa"/>
        <w:jc w:val="center"/>
        <w:tblLook w:val="04A0" w:firstRow="1" w:lastRow="0" w:firstColumn="1" w:lastColumn="0" w:noHBand="0" w:noVBand="1"/>
      </w:tblPr>
      <w:tblGrid>
        <w:gridCol w:w="4673"/>
        <w:gridCol w:w="4672"/>
      </w:tblGrid>
      <w:tr w:rsidR="002E6E98" w:rsidRPr="00E94DAC" w14:paraId="00D26381" w14:textId="77777777" w:rsidTr="00090CDE">
        <w:trPr>
          <w:trHeight w:val="357"/>
          <w:jc w:val="center"/>
        </w:trPr>
        <w:tc>
          <w:tcPr>
            <w:tcW w:w="4673" w:type="dxa"/>
          </w:tcPr>
          <w:p w14:paraId="1240A7B3" w14:textId="779E4BF5" w:rsidR="002E6E98" w:rsidRPr="00E94DAC" w:rsidRDefault="002E6E98" w:rsidP="00090CDE">
            <w:pPr>
              <w:widowControl w:val="0"/>
              <w:autoSpaceDE w:val="0"/>
              <w:autoSpaceDN w:val="0"/>
              <w:jc w:val="center"/>
              <w:rPr>
                <w:rFonts w:ascii="Times New Roman" w:eastAsia="Times New Roman" w:hAnsi="Times New Roman" w:cs="Times New Roman"/>
                <w:b/>
                <w:lang w:val="uk-UA"/>
              </w:rPr>
            </w:pPr>
            <w:r>
              <w:rPr>
                <w:rFonts w:ascii="Times New Roman" w:eastAsia="Times New Roman" w:hAnsi="Times New Roman" w:cs="Times New Roman"/>
                <w:b/>
                <w:shd w:val="clear" w:color="auto" w:fill="FFFFFF"/>
                <w:lang w:val="uk-UA" w:eastAsia="ru-RU"/>
              </w:rPr>
              <w:t xml:space="preserve">Було </w:t>
            </w:r>
            <w:r w:rsidRPr="002C0F94">
              <w:rPr>
                <w:rFonts w:ascii="Times New Roman" w:eastAsia="Times New Roman" w:hAnsi="Times New Roman" w:cs="Times New Roman"/>
                <w:bCs/>
                <w:shd w:val="clear" w:color="auto" w:fill="FFFFFF"/>
                <w:lang w:val="uk-UA" w:eastAsia="ru-RU"/>
              </w:rPr>
              <w:t xml:space="preserve">(редакція від </w:t>
            </w:r>
            <w:r w:rsidR="008F72DF">
              <w:rPr>
                <w:rFonts w:ascii="Times New Roman" w:eastAsia="Times New Roman" w:hAnsi="Times New Roman" w:cs="Times New Roman"/>
                <w:bCs/>
                <w:shd w:val="clear" w:color="auto" w:fill="FFFFFF"/>
                <w:lang w:val="uk-UA" w:eastAsia="ru-RU"/>
              </w:rPr>
              <w:t>16 лютого</w:t>
            </w:r>
            <w:r w:rsidRPr="002C0F94">
              <w:rPr>
                <w:rFonts w:ascii="Times New Roman" w:eastAsia="Times New Roman" w:hAnsi="Times New Roman" w:cs="Times New Roman"/>
                <w:bCs/>
                <w:shd w:val="clear" w:color="auto" w:fill="FFFFFF"/>
                <w:lang w:val="uk-UA" w:eastAsia="ru-RU"/>
              </w:rPr>
              <w:t xml:space="preserve"> 202</w:t>
            </w:r>
            <w:r>
              <w:rPr>
                <w:rFonts w:ascii="Times New Roman" w:eastAsia="Times New Roman" w:hAnsi="Times New Roman" w:cs="Times New Roman"/>
                <w:bCs/>
                <w:shd w:val="clear" w:color="auto" w:fill="FFFFFF"/>
                <w:lang w:val="uk-UA" w:eastAsia="ru-RU"/>
              </w:rPr>
              <w:t>4</w:t>
            </w:r>
            <w:r w:rsidRPr="002C0F94">
              <w:rPr>
                <w:rFonts w:ascii="Times New Roman" w:eastAsia="Times New Roman" w:hAnsi="Times New Roman" w:cs="Times New Roman"/>
                <w:bCs/>
                <w:shd w:val="clear" w:color="auto" w:fill="FFFFFF"/>
                <w:lang w:val="uk-UA" w:eastAsia="ru-RU"/>
              </w:rPr>
              <w:t xml:space="preserve"> року)</w:t>
            </w:r>
          </w:p>
        </w:tc>
        <w:tc>
          <w:tcPr>
            <w:tcW w:w="4672" w:type="dxa"/>
          </w:tcPr>
          <w:p w14:paraId="556E3ACB" w14:textId="77777777" w:rsidR="002E6E98" w:rsidRPr="00E94DAC" w:rsidRDefault="002E6E98" w:rsidP="00090CDE">
            <w:pPr>
              <w:widowControl w:val="0"/>
              <w:autoSpaceDE w:val="0"/>
              <w:autoSpaceDN w:val="0"/>
              <w:jc w:val="center"/>
              <w:rPr>
                <w:rFonts w:ascii="Times New Roman" w:eastAsia="Times New Roman" w:hAnsi="Times New Roman" w:cs="Times New Roman"/>
                <w:b/>
                <w:lang w:val="uk-UA"/>
              </w:rPr>
            </w:pPr>
            <w:r>
              <w:rPr>
                <w:rFonts w:ascii="Times New Roman" w:eastAsia="Times New Roman" w:hAnsi="Times New Roman" w:cs="Times New Roman"/>
                <w:b/>
                <w:bCs/>
                <w:lang w:val="uk-UA"/>
              </w:rPr>
              <w:t xml:space="preserve">Стало </w:t>
            </w:r>
            <w:r w:rsidRPr="002C0F94">
              <w:rPr>
                <w:rFonts w:ascii="Times New Roman" w:eastAsia="Times New Roman" w:hAnsi="Times New Roman" w:cs="Times New Roman"/>
                <w:lang w:val="uk-UA"/>
              </w:rPr>
              <w:t>(редакція з урахуванням внесених змін)</w:t>
            </w:r>
          </w:p>
        </w:tc>
      </w:tr>
      <w:tr w:rsidR="002E6E98" w:rsidRPr="00E94DAC" w14:paraId="73BDFD45" w14:textId="77777777" w:rsidTr="00090CDE">
        <w:trPr>
          <w:trHeight w:val="357"/>
          <w:jc w:val="center"/>
        </w:trPr>
        <w:tc>
          <w:tcPr>
            <w:tcW w:w="4673" w:type="dxa"/>
          </w:tcPr>
          <w:p w14:paraId="223FF29A" w14:textId="78B436F2" w:rsidR="002E6E98" w:rsidRDefault="002E6E98" w:rsidP="00815E3F">
            <w:pPr>
              <w:widowControl w:val="0"/>
              <w:autoSpaceDE w:val="0"/>
              <w:autoSpaceDN w:val="0"/>
              <w:rPr>
                <w:rFonts w:ascii="Times New Roman" w:eastAsia="Times New Roman" w:hAnsi="Times New Roman" w:cs="Times New Roman"/>
                <w:b/>
                <w:shd w:val="clear" w:color="auto" w:fill="FFFFFF"/>
                <w:lang w:val="uk-UA" w:eastAsia="ru-RU"/>
              </w:rPr>
            </w:pPr>
            <w:r>
              <w:rPr>
                <w:rFonts w:ascii="Times New Roman" w:eastAsia="Times New Roman" w:hAnsi="Times New Roman" w:cs="Times New Roman"/>
                <w:b/>
                <w:shd w:val="clear" w:color="auto" w:fill="FFFFFF"/>
                <w:lang w:val="uk-UA" w:eastAsia="ru-RU"/>
              </w:rPr>
              <w:t xml:space="preserve">П. 1 розділу </w:t>
            </w:r>
            <w:r w:rsidRPr="002E6E98">
              <w:rPr>
                <w:rFonts w:ascii="Times New Roman" w:eastAsia="Times New Roman" w:hAnsi="Times New Roman" w:cs="Times New Roman"/>
                <w:b/>
                <w:shd w:val="clear" w:color="auto" w:fill="FFFFFF"/>
                <w:lang w:val="uk-UA" w:eastAsia="ru-RU"/>
              </w:rPr>
              <w:t>IV</w:t>
            </w:r>
            <w:r>
              <w:rPr>
                <w:rFonts w:ascii="Times New Roman" w:eastAsia="Times New Roman" w:hAnsi="Times New Roman" w:cs="Times New Roman"/>
                <w:b/>
                <w:shd w:val="clear" w:color="auto" w:fill="FFFFFF"/>
                <w:lang w:val="uk-UA" w:eastAsia="ru-RU"/>
              </w:rPr>
              <w:t xml:space="preserve"> тендерної документації</w:t>
            </w:r>
          </w:p>
        </w:tc>
        <w:tc>
          <w:tcPr>
            <w:tcW w:w="4672" w:type="dxa"/>
          </w:tcPr>
          <w:p w14:paraId="0A4AD444" w14:textId="669BD754" w:rsidR="002E6E98" w:rsidRDefault="002E6E98" w:rsidP="00815E3F">
            <w:pPr>
              <w:widowControl w:val="0"/>
              <w:autoSpaceDE w:val="0"/>
              <w:autoSpaceDN w:val="0"/>
              <w:rPr>
                <w:rFonts w:ascii="Times New Roman" w:eastAsia="Times New Roman" w:hAnsi="Times New Roman" w:cs="Times New Roman"/>
                <w:b/>
                <w:bCs/>
                <w:lang w:val="uk-UA"/>
              </w:rPr>
            </w:pPr>
            <w:r>
              <w:rPr>
                <w:rFonts w:ascii="Times New Roman" w:eastAsia="Times New Roman" w:hAnsi="Times New Roman" w:cs="Times New Roman"/>
                <w:b/>
                <w:shd w:val="clear" w:color="auto" w:fill="FFFFFF"/>
                <w:lang w:val="uk-UA" w:eastAsia="ru-RU"/>
              </w:rPr>
              <w:t xml:space="preserve">П. 1 розділу </w:t>
            </w:r>
            <w:r w:rsidRPr="002E6E98">
              <w:rPr>
                <w:rFonts w:ascii="Times New Roman" w:eastAsia="Times New Roman" w:hAnsi="Times New Roman" w:cs="Times New Roman"/>
                <w:b/>
                <w:shd w:val="clear" w:color="auto" w:fill="FFFFFF"/>
                <w:lang w:val="uk-UA" w:eastAsia="ru-RU"/>
              </w:rPr>
              <w:t>IV</w:t>
            </w:r>
            <w:r>
              <w:rPr>
                <w:rFonts w:ascii="Times New Roman" w:eastAsia="Times New Roman" w:hAnsi="Times New Roman" w:cs="Times New Roman"/>
                <w:b/>
                <w:shd w:val="clear" w:color="auto" w:fill="FFFFFF"/>
                <w:lang w:val="uk-UA" w:eastAsia="ru-RU"/>
              </w:rPr>
              <w:t xml:space="preserve"> тендерної документації</w:t>
            </w:r>
          </w:p>
        </w:tc>
      </w:tr>
      <w:tr w:rsidR="002E6E98" w:rsidRPr="00E94DAC" w14:paraId="61E7316D" w14:textId="77777777" w:rsidTr="00090CDE">
        <w:trPr>
          <w:trHeight w:val="357"/>
          <w:jc w:val="center"/>
        </w:trPr>
        <w:tc>
          <w:tcPr>
            <w:tcW w:w="4673" w:type="dxa"/>
          </w:tcPr>
          <w:p w14:paraId="74896591" w14:textId="04A0AA96" w:rsidR="002E6E98" w:rsidRPr="000E3AEA" w:rsidRDefault="008F72DF" w:rsidP="002E6E98">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8F72DF">
              <w:rPr>
                <w:rFonts w:ascii="Times New Roman" w:eastAsia="Times New Roman" w:hAnsi="Times New Roman" w:cs="Times New Roman"/>
                <w:sz w:val="23"/>
                <w:szCs w:val="23"/>
                <w:lang w:val="uk-UA" w:eastAsia="ru-RU"/>
              </w:rPr>
              <w:t xml:space="preserve">Кінцевий строк подання тендерних пропозицій — </w:t>
            </w:r>
            <w:r w:rsidRPr="008F72DF">
              <w:rPr>
                <w:rFonts w:ascii="Times New Roman" w:eastAsia="Times New Roman" w:hAnsi="Times New Roman" w:cs="Times New Roman"/>
                <w:b/>
                <w:bCs/>
                <w:sz w:val="23"/>
                <w:szCs w:val="23"/>
                <w:lang w:val="uk-UA" w:eastAsia="ru-RU"/>
              </w:rPr>
              <w:t>«26» 02 2024 року до 00.00 год.</w:t>
            </w:r>
          </w:p>
        </w:tc>
        <w:tc>
          <w:tcPr>
            <w:tcW w:w="4672" w:type="dxa"/>
          </w:tcPr>
          <w:p w14:paraId="460FA985" w14:textId="00FC261C" w:rsidR="002E6E98" w:rsidRPr="00B87297" w:rsidRDefault="008F72DF" w:rsidP="00735FE6">
            <w:pPr>
              <w:widowControl w:val="0"/>
              <w:autoSpaceDE w:val="0"/>
              <w:autoSpaceDN w:val="0"/>
              <w:ind w:firstLine="149"/>
              <w:jc w:val="both"/>
              <w:rPr>
                <w:rFonts w:ascii="Times New Roman" w:eastAsia="Times New Roman" w:hAnsi="Times New Roman" w:cs="Times New Roman"/>
                <w:b/>
                <w:bCs/>
                <w:lang w:val="uk-UA"/>
              </w:rPr>
            </w:pPr>
            <w:r w:rsidRPr="00C04342">
              <w:rPr>
                <w:rFonts w:ascii="Times New Roman" w:hAnsi="Times New Roman" w:cs="Times New Roman"/>
                <w:lang w:val="uk-UA"/>
              </w:rPr>
              <w:t xml:space="preserve">Кінцевий строк подання тендерних пропозицій — </w:t>
            </w:r>
            <w:r w:rsidRPr="00C04342">
              <w:rPr>
                <w:rFonts w:ascii="Times New Roman" w:hAnsi="Times New Roman" w:cs="Times New Roman"/>
                <w:b/>
                <w:bCs/>
                <w:lang w:val="uk-UA"/>
              </w:rPr>
              <w:t>«</w:t>
            </w:r>
            <w:r w:rsidR="00352006">
              <w:rPr>
                <w:rFonts w:ascii="Times New Roman" w:hAnsi="Times New Roman" w:cs="Times New Roman"/>
                <w:b/>
                <w:bCs/>
              </w:rPr>
              <w:t>0</w:t>
            </w:r>
            <w:r w:rsidR="00352006">
              <w:rPr>
                <w:rFonts w:ascii="Times New Roman" w:hAnsi="Times New Roman" w:cs="Times New Roman"/>
                <w:b/>
                <w:bCs/>
                <w:lang w:val="uk-UA"/>
              </w:rPr>
              <w:t>9</w:t>
            </w:r>
            <w:r w:rsidRPr="00C04342">
              <w:rPr>
                <w:rFonts w:ascii="Times New Roman" w:hAnsi="Times New Roman" w:cs="Times New Roman"/>
                <w:b/>
                <w:bCs/>
                <w:lang w:val="uk-UA"/>
              </w:rPr>
              <w:t xml:space="preserve">» 04  2024 року </w:t>
            </w:r>
            <w:bookmarkStart w:id="0" w:name="_GoBack"/>
            <w:bookmarkEnd w:id="0"/>
            <w:r w:rsidRPr="00C04342">
              <w:rPr>
                <w:rFonts w:ascii="Times New Roman" w:hAnsi="Times New Roman" w:cs="Times New Roman"/>
                <w:b/>
                <w:bCs/>
                <w:lang w:val="uk-UA"/>
              </w:rPr>
              <w:t>до 00.00 год</w:t>
            </w:r>
            <w:r w:rsidRPr="002B0A20">
              <w:rPr>
                <w:b/>
                <w:bCs/>
                <w:lang w:val="uk-UA"/>
              </w:rPr>
              <w:t>.</w:t>
            </w:r>
          </w:p>
        </w:tc>
      </w:tr>
    </w:tbl>
    <w:p w14:paraId="769D793A" w14:textId="77777777" w:rsidR="002E6E98" w:rsidRPr="002E6E98" w:rsidRDefault="002E6E98" w:rsidP="006F1755">
      <w:pPr>
        <w:spacing w:after="0" w:line="240" w:lineRule="auto"/>
        <w:jc w:val="center"/>
        <w:rPr>
          <w:rFonts w:ascii="Times New Roman" w:hAnsi="Times New Roman" w:cs="Times New Roman"/>
          <w:sz w:val="24"/>
          <w:szCs w:val="24"/>
        </w:rPr>
      </w:pPr>
    </w:p>
    <w:p w14:paraId="23CF9133" w14:textId="77777777" w:rsidR="00316DC5" w:rsidRDefault="00316DC5" w:rsidP="006F1755">
      <w:pPr>
        <w:spacing w:after="0" w:line="240" w:lineRule="auto"/>
        <w:jc w:val="center"/>
        <w:rPr>
          <w:rFonts w:ascii="Times New Roman" w:hAnsi="Times New Roman" w:cs="Times New Roman"/>
          <w:b/>
          <w:bCs/>
          <w:sz w:val="24"/>
          <w:szCs w:val="24"/>
          <w:lang w:val="uk-UA"/>
        </w:rPr>
      </w:pPr>
    </w:p>
    <w:p w14:paraId="5547E618" w14:textId="77777777" w:rsidR="006F1755" w:rsidRPr="00333EC2" w:rsidRDefault="006F1755" w:rsidP="006F1755">
      <w:pPr>
        <w:spacing w:after="0" w:line="240" w:lineRule="auto"/>
        <w:rPr>
          <w:rFonts w:ascii="Times New Roman" w:hAnsi="Times New Roman" w:cs="Times New Roman"/>
          <w:sz w:val="24"/>
          <w:szCs w:val="24"/>
          <w:lang w:val="uk-UA"/>
        </w:rPr>
      </w:pPr>
    </w:p>
    <w:tbl>
      <w:tblPr>
        <w:tblStyle w:val="1"/>
        <w:tblW w:w="9345" w:type="dxa"/>
        <w:jc w:val="center"/>
        <w:tblLook w:val="04A0" w:firstRow="1" w:lastRow="0" w:firstColumn="1" w:lastColumn="0" w:noHBand="0" w:noVBand="1"/>
      </w:tblPr>
      <w:tblGrid>
        <w:gridCol w:w="4673"/>
        <w:gridCol w:w="4672"/>
      </w:tblGrid>
      <w:tr w:rsidR="00352006" w:rsidRPr="00E94DAC" w14:paraId="1FBE12D3" w14:textId="77777777" w:rsidTr="002B67B8">
        <w:trPr>
          <w:trHeight w:val="357"/>
          <w:jc w:val="center"/>
        </w:trPr>
        <w:tc>
          <w:tcPr>
            <w:tcW w:w="4673" w:type="dxa"/>
          </w:tcPr>
          <w:p w14:paraId="741AD396" w14:textId="77777777" w:rsidR="00352006" w:rsidRPr="00E94DAC" w:rsidRDefault="00352006" w:rsidP="002B67B8">
            <w:pPr>
              <w:widowControl w:val="0"/>
              <w:autoSpaceDE w:val="0"/>
              <w:autoSpaceDN w:val="0"/>
              <w:jc w:val="center"/>
              <w:rPr>
                <w:rFonts w:ascii="Times New Roman" w:eastAsia="Times New Roman" w:hAnsi="Times New Roman" w:cs="Times New Roman"/>
                <w:b/>
                <w:lang w:val="uk-UA"/>
              </w:rPr>
            </w:pPr>
            <w:r>
              <w:rPr>
                <w:rFonts w:ascii="Times New Roman" w:eastAsia="Times New Roman" w:hAnsi="Times New Roman" w:cs="Times New Roman"/>
                <w:b/>
                <w:shd w:val="clear" w:color="auto" w:fill="FFFFFF"/>
                <w:lang w:val="uk-UA" w:eastAsia="ru-RU"/>
              </w:rPr>
              <w:t xml:space="preserve">Було </w:t>
            </w:r>
            <w:r w:rsidRPr="002C0F94">
              <w:rPr>
                <w:rFonts w:ascii="Times New Roman" w:eastAsia="Times New Roman" w:hAnsi="Times New Roman" w:cs="Times New Roman"/>
                <w:bCs/>
                <w:shd w:val="clear" w:color="auto" w:fill="FFFFFF"/>
                <w:lang w:val="uk-UA" w:eastAsia="ru-RU"/>
              </w:rPr>
              <w:t xml:space="preserve">(редакція від </w:t>
            </w:r>
            <w:r>
              <w:rPr>
                <w:rFonts w:ascii="Times New Roman" w:eastAsia="Times New Roman" w:hAnsi="Times New Roman" w:cs="Times New Roman"/>
                <w:bCs/>
                <w:shd w:val="clear" w:color="auto" w:fill="FFFFFF"/>
                <w:lang w:val="uk-UA" w:eastAsia="ru-RU"/>
              </w:rPr>
              <w:t>16 лютого</w:t>
            </w:r>
            <w:r w:rsidRPr="002C0F94">
              <w:rPr>
                <w:rFonts w:ascii="Times New Roman" w:eastAsia="Times New Roman" w:hAnsi="Times New Roman" w:cs="Times New Roman"/>
                <w:bCs/>
                <w:shd w:val="clear" w:color="auto" w:fill="FFFFFF"/>
                <w:lang w:val="uk-UA" w:eastAsia="ru-RU"/>
              </w:rPr>
              <w:t xml:space="preserve"> 202</w:t>
            </w:r>
            <w:r>
              <w:rPr>
                <w:rFonts w:ascii="Times New Roman" w:eastAsia="Times New Roman" w:hAnsi="Times New Roman" w:cs="Times New Roman"/>
                <w:bCs/>
                <w:shd w:val="clear" w:color="auto" w:fill="FFFFFF"/>
                <w:lang w:val="uk-UA" w:eastAsia="ru-RU"/>
              </w:rPr>
              <w:t>4</w:t>
            </w:r>
            <w:r w:rsidRPr="002C0F94">
              <w:rPr>
                <w:rFonts w:ascii="Times New Roman" w:eastAsia="Times New Roman" w:hAnsi="Times New Roman" w:cs="Times New Roman"/>
                <w:bCs/>
                <w:shd w:val="clear" w:color="auto" w:fill="FFFFFF"/>
                <w:lang w:val="uk-UA" w:eastAsia="ru-RU"/>
              </w:rPr>
              <w:t xml:space="preserve"> року)</w:t>
            </w:r>
          </w:p>
        </w:tc>
        <w:tc>
          <w:tcPr>
            <w:tcW w:w="4672" w:type="dxa"/>
          </w:tcPr>
          <w:p w14:paraId="443426B7" w14:textId="77777777" w:rsidR="00352006" w:rsidRPr="00E94DAC" w:rsidRDefault="00352006" w:rsidP="002B67B8">
            <w:pPr>
              <w:widowControl w:val="0"/>
              <w:autoSpaceDE w:val="0"/>
              <w:autoSpaceDN w:val="0"/>
              <w:jc w:val="center"/>
              <w:rPr>
                <w:rFonts w:ascii="Times New Roman" w:eastAsia="Times New Roman" w:hAnsi="Times New Roman" w:cs="Times New Roman"/>
                <w:b/>
                <w:lang w:val="uk-UA"/>
              </w:rPr>
            </w:pPr>
            <w:r>
              <w:rPr>
                <w:rFonts w:ascii="Times New Roman" w:eastAsia="Times New Roman" w:hAnsi="Times New Roman" w:cs="Times New Roman"/>
                <w:b/>
                <w:bCs/>
                <w:lang w:val="uk-UA"/>
              </w:rPr>
              <w:t xml:space="preserve">Стало </w:t>
            </w:r>
            <w:r w:rsidRPr="002C0F94">
              <w:rPr>
                <w:rFonts w:ascii="Times New Roman" w:eastAsia="Times New Roman" w:hAnsi="Times New Roman" w:cs="Times New Roman"/>
                <w:lang w:val="uk-UA"/>
              </w:rPr>
              <w:t>(редакція з урахуванням внесених змін)</w:t>
            </w:r>
          </w:p>
        </w:tc>
      </w:tr>
      <w:tr w:rsidR="00352006" w:rsidRPr="00815E3F" w14:paraId="4A636D25" w14:textId="77777777" w:rsidTr="002B67B8">
        <w:trPr>
          <w:trHeight w:val="357"/>
          <w:jc w:val="center"/>
        </w:trPr>
        <w:tc>
          <w:tcPr>
            <w:tcW w:w="4673" w:type="dxa"/>
          </w:tcPr>
          <w:p w14:paraId="59E4E20C" w14:textId="24ED014E" w:rsidR="00352006" w:rsidRPr="00815E3F" w:rsidRDefault="00352006" w:rsidP="00815E3F">
            <w:pPr>
              <w:widowControl w:val="0"/>
              <w:autoSpaceDE w:val="0"/>
              <w:autoSpaceDN w:val="0"/>
              <w:rPr>
                <w:rFonts w:ascii="Times New Roman" w:eastAsia="Times New Roman" w:hAnsi="Times New Roman" w:cs="Times New Roman"/>
                <w:b/>
                <w:shd w:val="clear" w:color="auto" w:fill="FFFFFF"/>
                <w:lang w:val="uk-UA" w:eastAsia="ru-RU"/>
              </w:rPr>
            </w:pPr>
            <w:r w:rsidRPr="00815E3F">
              <w:rPr>
                <w:rFonts w:ascii="Times New Roman" w:hAnsi="Times New Roman" w:cs="Times New Roman"/>
                <w:b/>
                <w:bCs/>
                <w:sz w:val="24"/>
                <w:szCs w:val="24"/>
                <w:lang w:val="uk-UA"/>
              </w:rPr>
              <w:t>Додаток № 2 до тендерної документації викладено в новій редакції.</w:t>
            </w:r>
          </w:p>
        </w:tc>
        <w:tc>
          <w:tcPr>
            <w:tcW w:w="4672" w:type="dxa"/>
          </w:tcPr>
          <w:p w14:paraId="3CC0C572" w14:textId="4B0AE086" w:rsidR="00352006" w:rsidRPr="00815E3F" w:rsidRDefault="00352006" w:rsidP="00815E3F">
            <w:pPr>
              <w:widowControl w:val="0"/>
              <w:autoSpaceDE w:val="0"/>
              <w:autoSpaceDN w:val="0"/>
              <w:rPr>
                <w:rFonts w:ascii="Times New Roman" w:eastAsia="Times New Roman" w:hAnsi="Times New Roman" w:cs="Times New Roman"/>
                <w:b/>
                <w:bCs/>
                <w:lang w:val="uk-UA"/>
              </w:rPr>
            </w:pPr>
            <w:r w:rsidRPr="00815E3F">
              <w:rPr>
                <w:rFonts w:ascii="Times New Roman" w:hAnsi="Times New Roman" w:cs="Times New Roman"/>
                <w:b/>
                <w:bCs/>
                <w:sz w:val="24"/>
                <w:szCs w:val="24"/>
                <w:lang w:val="uk-UA"/>
              </w:rPr>
              <w:t>Додаток № 2 до тендерної документації викладено в новій редакції.</w:t>
            </w:r>
          </w:p>
        </w:tc>
      </w:tr>
      <w:tr w:rsidR="00352006" w:rsidRPr="00E94DAC" w14:paraId="7EE0A129" w14:textId="77777777" w:rsidTr="002B67B8">
        <w:trPr>
          <w:trHeight w:val="357"/>
          <w:jc w:val="center"/>
        </w:trPr>
        <w:tc>
          <w:tcPr>
            <w:tcW w:w="4673" w:type="dxa"/>
          </w:tcPr>
          <w:p w14:paraId="05E5CFF0"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Додаток №2</w:t>
            </w:r>
          </w:p>
          <w:p w14:paraId="5C66E202"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до тендерної документації</w:t>
            </w:r>
          </w:p>
          <w:p w14:paraId="71F94CED"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p>
          <w:p w14:paraId="04091703"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Технічні, якісні та кількісні вимоги до предмету закупівлі</w:t>
            </w:r>
          </w:p>
          <w:p w14:paraId="6BC48BC1"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Електрична енергія (ДК 021:2015 код 09310000-5 ‒ Електрична енергія)</w:t>
            </w:r>
          </w:p>
          <w:p w14:paraId="6E3257C2"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p>
          <w:p w14:paraId="1C5D9601"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1.  Обсяги постачання електричної енергії  до 31.12.2024 року  наступні:</w:t>
            </w:r>
          </w:p>
          <w:p w14:paraId="4D5066D3"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Об’єкти підключення до мережі</w:t>
            </w:r>
            <w:r w:rsidRPr="00352006">
              <w:rPr>
                <w:rFonts w:ascii="Times New Roman" w:eastAsia="Times New Roman" w:hAnsi="Times New Roman" w:cs="Times New Roman"/>
                <w:b/>
                <w:shd w:val="clear" w:color="auto" w:fill="FFFFFF"/>
                <w:lang w:val="uk-UA" w:eastAsia="ru-RU"/>
              </w:rPr>
              <w:tab/>
              <w:t>Од. виміру</w:t>
            </w:r>
          </w:p>
          <w:p w14:paraId="20858AEA"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ab/>
              <w:t>Кількість</w:t>
            </w:r>
          </w:p>
          <w:p w14:paraId="3E2EF9D1"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62Z5466341417352</w:t>
            </w:r>
          </w:p>
          <w:p w14:paraId="2B32935B"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62Z4007171414566</w:t>
            </w:r>
          </w:p>
          <w:p w14:paraId="4E4BC806"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62Z5913861371086</w:t>
            </w:r>
          </w:p>
          <w:p w14:paraId="4C457056"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62Z8452871362758</w:t>
            </w:r>
          </w:p>
          <w:p w14:paraId="1EF36B23"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62Z9886095028093</w:t>
            </w:r>
          </w:p>
          <w:p w14:paraId="7B61D3A9"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62Z1910640131716</w:t>
            </w:r>
          </w:p>
          <w:p w14:paraId="7301F234"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62Z4077229972641</w:t>
            </w:r>
          </w:p>
          <w:p w14:paraId="2CB59FD1"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62Z8686950646022</w:t>
            </w:r>
          </w:p>
          <w:p w14:paraId="4EC0D032"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62Z7674243012601</w:t>
            </w:r>
          </w:p>
          <w:p w14:paraId="55FFDBA4"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62Z7762475812040</w:t>
            </w:r>
          </w:p>
          <w:p w14:paraId="5399F55F"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62Z9538686734210</w:t>
            </w:r>
          </w:p>
          <w:p w14:paraId="546732B3"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62Z4744500116017</w:t>
            </w:r>
          </w:p>
          <w:p w14:paraId="1610DA2B"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62Z3089377279542</w:t>
            </w:r>
          </w:p>
          <w:p w14:paraId="1F8E4EA2"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62Z531690246801S</w:t>
            </w:r>
          </w:p>
          <w:p w14:paraId="316B5A5E"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62Z6060750491616</w:t>
            </w:r>
          </w:p>
          <w:p w14:paraId="7E76A6DB"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62Z663973068643G</w:t>
            </w:r>
          </w:p>
          <w:p w14:paraId="28EC102D"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62Z211146353086R</w:t>
            </w:r>
          </w:p>
          <w:p w14:paraId="0335687E"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62Z675537785269F</w:t>
            </w:r>
            <w:r w:rsidRPr="00352006">
              <w:rPr>
                <w:rFonts w:ascii="Times New Roman" w:eastAsia="Times New Roman" w:hAnsi="Times New Roman" w:cs="Times New Roman"/>
                <w:b/>
                <w:shd w:val="clear" w:color="auto" w:fill="FFFFFF"/>
                <w:lang w:val="uk-UA" w:eastAsia="ru-RU"/>
              </w:rPr>
              <w:tab/>
              <w:t>кВт/год</w:t>
            </w:r>
            <w:r w:rsidRPr="00352006">
              <w:rPr>
                <w:rFonts w:ascii="Times New Roman" w:eastAsia="Times New Roman" w:hAnsi="Times New Roman" w:cs="Times New Roman"/>
                <w:b/>
                <w:shd w:val="clear" w:color="auto" w:fill="FFFFFF"/>
                <w:lang w:val="uk-UA" w:eastAsia="ru-RU"/>
              </w:rPr>
              <w:tab/>
              <w:t xml:space="preserve"> 1700000</w:t>
            </w:r>
          </w:p>
          <w:p w14:paraId="32F64A98"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p>
          <w:p w14:paraId="2D987221"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Технічні та якісні характеристики:</w:t>
            </w:r>
          </w:p>
          <w:p w14:paraId="4C5F1C5A"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 xml:space="preserve">1. 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w:t>
            </w:r>
            <w:r w:rsidRPr="00352006">
              <w:rPr>
                <w:rFonts w:ascii="Times New Roman" w:eastAsia="Times New Roman" w:hAnsi="Times New Roman" w:cs="Times New Roman"/>
                <w:b/>
                <w:shd w:val="clear" w:color="auto" w:fill="FFFFFF"/>
                <w:lang w:val="uk-UA" w:eastAsia="ru-RU"/>
              </w:rPr>
              <w:lastRenderedPageBreak/>
              <w:t xml:space="preserve">товару. </w:t>
            </w:r>
          </w:p>
          <w:p w14:paraId="77CF83A8"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 xml:space="preserve">2. Учасник-постачальник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w:t>
            </w:r>
          </w:p>
          <w:p w14:paraId="6EFAB180"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 xml:space="preserve">3. 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(ЕN 50160:2010, IDT). </w:t>
            </w:r>
          </w:p>
          <w:p w14:paraId="227863E1"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4. Учасник визначає ціни на товар, який він пропонує поставити за Договором, з урахуванням усіх своїх витрат, які можуть бути ним понесені у ході виконання договору про закупівлю.</w:t>
            </w:r>
          </w:p>
          <w:p w14:paraId="7F9C6342"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 Ціна електричної енергії не включає вартість послуг з розподілу електричної енергії. Вказані послуги з розподілу електричної енергії оплачуються Споживачем самостійно.</w:t>
            </w:r>
          </w:p>
          <w:p w14:paraId="2D98E7D8"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Умови постачання електричної енергії замовнику повинні відповідати наступним нормативно-правовим актам:</w:t>
            </w:r>
          </w:p>
          <w:p w14:paraId="5E030F86"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 Закону України «Про публічні закупівлі» від 25.12.2015 № 922-VIII (із змінами);</w:t>
            </w:r>
          </w:p>
          <w:p w14:paraId="36778184"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 Особливостям затвердженими постановою Кабінету Міністрів України від 12 жовтня 2022 р. № 1178</w:t>
            </w:r>
          </w:p>
          <w:p w14:paraId="21B065C5"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 Закону України «Про ринок електричної енергії» (із змінами);</w:t>
            </w:r>
          </w:p>
          <w:p w14:paraId="073CEE9E"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 Правилам роздрібного ринку електричної енергії (затверджених постановою НКРЕКП від 14.03.2018 р. № 312);</w:t>
            </w:r>
          </w:p>
          <w:p w14:paraId="479AD1C7"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 іншим нормативно-правовим актам, прийнятих на виконання Закону України «Про ринок електричної енергії».</w:t>
            </w:r>
          </w:p>
          <w:p w14:paraId="196EA9D8"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 xml:space="preserve">8. Товар, що є предметом закупівлі, повинен відповідати вимогам чинного законодавства із захисту довкілля, основним вимогам державної політики </w:t>
            </w:r>
            <w:r w:rsidRPr="00352006">
              <w:rPr>
                <w:rFonts w:ascii="Times New Roman" w:eastAsia="Times New Roman" w:hAnsi="Times New Roman" w:cs="Times New Roman"/>
                <w:b/>
                <w:shd w:val="clear" w:color="auto" w:fill="FFFFFF"/>
                <w:lang w:val="uk-UA" w:eastAsia="ru-RU"/>
              </w:rPr>
              <w:lastRenderedPageBreak/>
              <w:t>України в галузі захисту довкілля та вимогам чинного природоохоронного законодавства.</w:t>
            </w:r>
          </w:p>
          <w:p w14:paraId="4576822F"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p>
          <w:p w14:paraId="6E6D202F"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14:paraId="6B78A67B"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w:t>
            </w:r>
            <w:r w:rsidRPr="00352006">
              <w:rPr>
                <w:rFonts w:ascii="Times New Roman" w:eastAsia="Times New Roman" w:hAnsi="Times New Roman" w:cs="Times New Roman"/>
                <w:b/>
                <w:shd w:val="clear" w:color="auto" w:fill="FFFFFF"/>
                <w:lang w:val="uk-UA" w:eastAsia="ru-RU"/>
              </w:rPr>
              <w:tab/>
              <w:t>Лист учасника (в довільній формі) в якому учасник підтверджує відповідність тендерної пропозиції  інформації про необхідні технічні, якісні та кількісні характеристики предмета закупівлі, визначені у Додатку 2 до тендерної документації;</w:t>
            </w:r>
          </w:p>
          <w:p w14:paraId="0E979CD2"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 договір укладений між учасником та Оператором ринку, про купівлю продаж електричної енергії на  ринку «на добу наперед» та договір укладений між учасником та Оператором ринку, про купівлю продаж електричної енергії  на внутрішньодобового ринку. Договори надаються в електронному вигляді з накладеними кваліфікованими/удосконаленими електронними підписами уповноважених осіб з боку учасника та Оператора ринку.</w:t>
            </w:r>
          </w:p>
          <w:p w14:paraId="6967D990"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 копію ліцензії або копію постанови НКРЕКП про видачу ліцензії на право провадження господарської діяльності з постачання електричної енергії споживачу, або інформацію про наявність учасника в переліку (ліцензійному реєстрі НКРЕКП) суб'єктів господарювання, які відповідно до вимог Закону України «Про ринок електричної енергії» отримали ліцензію на право провадження господарської діяльності з постачання електричної енергії, який розміщено на офіційному веб-сайті НКРЕКП;</w:t>
            </w:r>
          </w:p>
          <w:p w14:paraId="501248C5"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 лист від НЕК Укренерго про те, що за час з 01 січня 2023 року по 01 грудня 2023 року, учасник не набував статусу «</w:t>
            </w:r>
            <w:proofErr w:type="spellStart"/>
            <w:r w:rsidRPr="00352006">
              <w:rPr>
                <w:rFonts w:ascii="Times New Roman" w:eastAsia="Times New Roman" w:hAnsi="Times New Roman" w:cs="Times New Roman"/>
                <w:b/>
                <w:shd w:val="clear" w:color="auto" w:fill="FFFFFF"/>
                <w:lang w:val="uk-UA" w:eastAsia="ru-RU"/>
              </w:rPr>
              <w:t>переддефолтного</w:t>
            </w:r>
            <w:proofErr w:type="spellEnd"/>
            <w:r w:rsidRPr="00352006">
              <w:rPr>
                <w:rFonts w:ascii="Times New Roman" w:eastAsia="Times New Roman" w:hAnsi="Times New Roman" w:cs="Times New Roman"/>
                <w:b/>
                <w:shd w:val="clear" w:color="auto" w:fill="FFFFFF"/>
                <w:lang w:val="uk-UA" w:eastAsia="ru-RU"/>
              </w:rPr>
              <w:t>»;</w:t>
            </w:r>
          </w:p>
          <w:p w14:paraId="687E9723"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 xml:space="preserve">- лист від НЕК Укренерго з підтвердженням реєстрації представника учасника на інформаційно-комунікаційній платформі </w:t>
            </w:r>
            <w:proofErr w:type="spellStart"/>
            <w:r w:rsidRPr="00352006">
              <w:rPr>
                <w:rFonts w:ascii="Times New Roman" w:eastAsia="Times New Roman" w:hAnsi="Times New Roman" w:cs="Times New Roman"/>
                <w:b/>
                <w:shd w:val="clear" w:color="auto" w:fill="FFFFFF"/>
                <w:lang w:val="uk-UA" w:eastAsia="ru-RU"/>
              </w:rPr>
              <w:t>Датахаб</w:t>
            </w:r>
            <w:proofErr w:type="spellEnd"/>
            <w:r w:rsidRPr="00352006">
              <w:rPr>
                <w:rFonts w:ascii="Times New Roman" w:eastAsia="Times New Roman" w:hAnsi="Times New Roman" w:cs="Times New Roman"/>
                <w:b/>
                <w:shd w:val="clear" w:color="auto" w:fill="FFFFFF"/>
                <w:lang w:val="uk-UA" w:eastAsia="ru-RU"/>
              </w:rPr>
              <w:t xml:space="preserve"> в ролі постачальника електричної енергії, станом на дату подання тендерної пропозиції;</w:t>
            </w:r>
          </w:p>
          <w:p w14:paraId="5B79174B"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w:t>
            </w:r>
            <w:r w:rsidRPr="00352006">
              <w:rPr>
                <w:rFonts w:ascii="Times New Roman" w:eastAsia="Times New Roman" w:hAnsi="Times New Roman" w:cs="Times New Roman"/>
                <w:b/>
                <w:shd w:val="clear" w:color="auto" w:fill="FFFFFF"/>
                <w:lang w:val="uk-UA" w:eastAsia="ru-RU"/>
              </w:rPr>
              <w:tab/>
              <w:t>Лист від НЕК «Укренерго» про те, що за час з 01 січня 2021 року по 01 грудня 2023  року, учасник не набував статусу «</w:t>
            </w:r>
            <w:proofErr w:type="spellStart"/>
            <w:r w:rsidRPr="00352006">
              <w:rPr>
                <w:rFonts w:ascii="Times New Roman" w:eastAsia="Times New Roman" w:hAnsi="Times New Roman" w:cs="Times New Roman"/>
                <w:b/>
                <w:shd w:val="clear" w:color="auto" w:fill="FFFFFF"/>
                <w:lang w:val="uk-UA" w:eastAsia="ru-RU"/>
              </w:rPr>
              <w:t>дефолтного</w:t>
            </w:r>
            <w:proofErr w:type="spellEnd"/>
            <w:r w:rsidRPr="00352006">
              <w:rPr>
                <w:rFonts w:ascii="Times New Roman" w:eastAsia="Times New Roman" w:hAnsi="Times New Roman" w:cs="Times New Roman"/>
                <w:b/>
                <w:shd w:val="clear" w:color="auto" w:fill="FFFFFF"/>
                <w:lang w:val="uk-UA" w:eastAsia="ru-RU"/>
              </w:rPr>
              <w:t>» та зазначена інформація не була оприлюднена на сайті оператора системи передачі.</w:t>
            </w:r>
          </w:p>
          <w:p w14:paraId="4F7F8292" w14:textId="77777777" w:rsidR="00352006" w:rsidRPr="00352006" w:rsidRDefault="00352006" w:rsidP="00352006">
            <w:pPr>
              <w:widowControl w:val="0"/>
              <w:autoSpaceDE w:val="0"/>
              <w:autoSpaceDN w:val="0"/>
              <w:ind w:left="34"/>
              <w:jc w:val="both"/>
              <w:rPr>
                <w:rFonts w:ascii="Times New Roman" w:eastAsia="Times New Roman" w:hAnsi="Times New Roman" w:cs="Times New Roman"/>
                <w:b/>
                <w:shd w:val="clear" w:color="auto" w:fill="FFFFFF"/>
                <w:lang w:val="uk-UA" w:eastAsia="ru-RU"/>
              </w:rPr>
            </w:pPr>
            <w:r w:rsidRPr="00352006">
              <w:rPr>
                <w:rFonts w:ascii="Times New Roman" w:eastAsia="Times New Roman" w:hAnsi="Times New Roman" w:cs="Times New Roman"/>
                <w:b/>
                <w:shd w:val="clear" w:color="auto" w:fill="FFFFFF"/>
                <w:lang w:val="uk-UA" w:eastAsia="ru-RU"/>
              </w:rPr>
              <w:t xml:space="preserve">- на підтвердження наявності </w:t>
            </w:r>
            <w:proofErr w:type="spellStart"/>
            <w:r w:rsidRPr="00352006">
              <w:rPr>
                <w:rFonts w:ascii="Times New Roman" w:eastAsia="Times New Roman" w:hAnsi="Times New Roman" w:cs="Times New Roman"/>
                <w:b/>
                <w:shd w:val="clear" w:color="auto" w:fill="FFFFFF"/>
                <w:lang w:val="uk-UA" w:eastAsia="ru-RU"/>
              </w:rPr>
              <w:t>web</w:t>
            </w:r>
            <w:proofErr w:type="spellEnd"/>
            <w:r w:rsidRPr="00352006">
              <w:rPr>
                <w:rFonts w:ascii="Times New Roman" w:eastAsia="Times New Roman" w:hAnsi="Times New Roman" w:cs="Times New Roman"/>
                <w:b/>
                <w:shd w:val="clear" w:color="auto" w:fill="FFFFFF"/>
                <w:lang w:val="uk-UA" w:eastAsia="ru-RU"/>
              </w:rPr>
              <w:t xml:space="preserve">-сайту Учасника та його відповідності  вимогам </w:t>
            </w:r>
            <w:proofErr w:type="spellStart"/>
            <w:r w:rsidRPr="00352006">
              <w:rPr>
                <w:rFonts w:ascii="Times New Roman" w:eastAsia="Times New Roman" w:hAnsi="Times New Roman" w:cs="Times New Roman"/>
                <w:b/>
                <w:shd w:val="clear" w:color="auto" w:fill="FFFFFF"/>
                <w:lang w:val="uk-UA" w:eastAsia="ru-RU"/>
              </w:rPr>
              <w:t>пп</w:t>
            </w:r>
            <w:proofErr w:type="spellEnd"/>
            <w:r w:rsidRPr="00352006">
              <w:rPr>
                <w:rFonts w:ascii="Times New Roman" w:eastAsia="Times New Roman" w:hAnsi="Times New Roman" w:cs="Times New Roman"/>
                <w:b/>
                <w:shd w:val="clear" w:color="auto" w:fill="FFFFFF"/>
                <w:lang w:val="uk-UA" w:eastAsia="ru-RU"/>
              </w:rPr>
              <w:t xml:space="preserve">. 14 та </w:t>
            </w:r>
            <w:proofErr w:type="spellStart"/>
            <w:r w:rsidRPr="00352006">
              <w:rPr>
                <w:rFonts w:ascii="Times New Roman" w:eastAsia="Times New Roman" w:hAnsi="Times New Roman" w:cs="Times New Roman"/>
                <w:b/>
                <w:shd w:val="clear" w:color="auto" w:fill="FFFFFF"/>
                <w:lang w:val="uk-UA" w:eastAsia="ru-RU"/>
              </w:rPr>
              <w:t>пп</w:t>
            </w:r>
            <w:proofErr w:type="spellEnd"/>
            <w:r w:rsidRPr="00352006">
              <w:rPr>
                <w:rFonts w:ascii="Times New Roman" w:eastAsia="Times New Roman" w:hAnsi="Times New Roman" w:cs="Times New Roman"/>
                <w:b/>
                <w:shd w:val="clear" w:color="auto" w:fill="FFFFFF"/>
                <w:lang w:val="uk-UA" w:eastAsia="ru-RU"/>
              </w:rPr>
              <w:t xml:space="preserve">. 15 п.5.2.2. р. 5.2 «Правил </w:t>
            </w:r>
            <w:r w:rsidRPr="00352006">
              <w:rPr>
                <w:rFonts w:ascii="Times New Roman" w:eastAsia="Times New Roman" w:hAnsi="Times New Roman" w:cs="Times New Roman"/>
                <w:b/>
                <w:shd w:val="clear" w:color="auto" w:fill="FFFFFF"/>
                <w:lang w:val="uk-UA" w:eastAsia="ru-RU"/>
              </w:rPr>
              <w:lastRenderedPageBreak/>
              <w:t xml:space="preserve">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офіційного веб-сайту в мережі Інтернет, з виокремленням та описом відповідності  кожній </w:t>
            </w:r>
            <w:proofErr w:type="spellStart"/>
            <w:r w:rsidRPr="00352006">
              <w:rPr>
                <w:rFonts w:ascii="Times New Roman" w:eastAsia="Times New Roman" w:hAnsi="Times New Roman" w:cs="Times New Roman"/>
                <w:b/>
                <w:shd w:val="clear" w:color="auto" w:fill="FFFFFF"/>
                <w:lang w:val="uk-UA" w:eastAsia="ru-RU"/>
              </w:rPr>
              <w:t>вимозі</w:t>
            </w:r>
            <w:proofErr w:type="spellEnd"/>
            <w:r w:rsidRPr="00352006">
              <w:rPr>
                <w:rFonts w:ascii="Times New Roman" w:eastAsia="Times New Roman" w:hAnsi="Times New Roman" w:cs="Times New Roman"/>
                <w:b/>
                <w:shd w:val="clear" w:color="auto" w:fill="FFFFFF"/>
                <w:lang w:val="uk-UA" w:eastAsia="ru-RU"/>
              </w:rPr>
              <w:t>. Інформація про наявність веб-сайту має бути підтверджена оригіналом документа на право власності та/ або право користування та /або договором про надання послуг та/або іншого документу, що підтверджує наявність офіційного веб-сайту  в мережі Інтернет.</w:t>
            </w:r>
          </w:p>
          <w:p w14:paraId="635F1043" w14:textId="6D240CAD" w:rsidR="00352006" w:rsidRPr="000E3AEA" w:rsidRDefault="00352006" w:rsidP="002B67B8">
            <w:pPr>
              <w:widowControl w:val="0"/>
              <w:autoSpaceDE w:val="0"/>
              <w:autoSpaceDN w:val="0"/>
              <w:ind w:left="34"/>
              <w:jc w:val="both"/>
              <w:rPr>
                <w:rFonts w:ascii="Times New Roman" w:eastAsia="Times New Roman" w:hAnsi="Times New Roman" w:cs="Times New Roman"/>
                <w:b/>
                <w:shd w:val="clear" w:color="auto" w:fill="FFFFFF"/>
                <w:lang w:val="uk-UA" w:eastAsia="ru-RU"/>
              </w:rPr>
            </w:pPr>
          </w:p>
        </w:tc>
        <w:tc>
          <w:tcPr>
            <w:tcW w:w="4672" w:type="dxa"/>
          </w:tcPr>
          <w:p w14:paraId="3A5D8AC6"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lastRenderedPageBreak/>
              <w:t>Додаток №2</w:t>
            </w:r>
          </w:p>
          <w:p w14:paraId="31A199AF"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до тендерної документації</w:t>
            </w:r>
          </w:p>
          <w:p w14:paraId="1F919A8E"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p>
          <w:p w14:paraId="2FE2F41B"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Технічні, якісні та кількісні вимоги до предмету закупівлі</w:t>
            </w:r>
          </w:p>
          <w:p w14:paraId="30BB8454"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Електрична енергія (ДК 021:2015 код 09310000-5 ‒ Електрична енергія)</w:t>
            </w:r>
          </w:p>
          <w:p w14:paraId="24D06029"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p>
          <w:p w14:paraId="6905CFF8"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1.  Обсяги постачання електричної енергії  до 31.12.2024 року  наступні:</w:t>
            </w:r>
          </w:p>
          <w:p w14:paraId="1F085D73"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Об’єкти підключення до мережі</w:t>
            </w:r>
            <w:r w:rsidRPr="00352006">
              <w:rPr>
                <w:rFonts w:ascii="Times New Roman" w:eastAsia="Times New Roman" w:hAnsi="Times New Roman" w:cs="Times New Roman"/>
                <w:b/>
                <w:bCs/>
                <w:lang w:val="uk-UA"/>
              </w:rPr>
              <w:tab/>
              <w:t>Од. виміру</w:t>
            </w:r>
          </w:p>
          <w:p w14:paraId="1EF5BE06"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ab/>
              <w:t>Кількість</w:t>
            </w:r>
          </w:p>
          <w:p w14:paraId="5487BD53"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62Z5466341417352</w:t>
            </w:r>
          </w:p>
          <w:p w14:paraId="76770E7D"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62Z4007171414566</w:t>
            </w:r>
          </w:p>
          <w:p w14:paraId="5073BC7B"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62Z5913861371086</w:t>
            </w:r>
          </w:p>
          <w:p w14:paraId="0312AA42"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62Z8452871362758</w:t>
            </w:r>
          </w:p>
          <w:p w14:paraId="7E1A44D8"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62Z9886095028093</w:t>
            </w:r>
          </w:p>
          <w:p w14:paraId="50D00C61"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62Z1910640131716</w:t>
            </w:r>
          </w:p>
          <w:p w14:paraId="5877C405"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62Z4077229972641</w:t>
            </w:r>
          </w:p>
          <w:p w14:paraId="05A7EB68"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62Z8686950646022</w:t>
            </w:r>
          </w:p>
          <w:p w14:paraId="15FEA45D"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62Z7674243012601</w:t>
            </w:r>
          </w:p>
          <w:p w14:paraId="64F4445F"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62Z7762475812040</w:t>
            </w:r>
          </w:p>
          <w:p w14:paraId="09EFE062"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62Z9538686734210</w:t>
            </w:r>
          </w:p>
          <w:p w14:paraId="527FCA58"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62Z4744500116017</w:t>
            </w:r>
          </w:p>
          <w:p w14:paraId="0B827B65"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62Z3089377279542</w:t>
            </w:r>
          </w:p>
          <w:p w14:paraId="27C49AF9"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62Z531690246801S</w:t>
            </w:r>
          </w:p>
          <w:p w14:paraId="3C7A0EA9"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62Z6060750491616</w:t>
            </w:r>
          </w:p>
          <w:p w14:paraId="319138D2"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62Z663973068643G</w:t>
            </w:r>
          </w:p>
          <w:p w14:paraId="2B3D9872"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62Z211146353086R</w:t>
            </w:r>
          </w:p>
          <w:p w14:paraId="750E242E"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62Z675537785269F</w:t>
            </w:r>
            <w:r w:rsidRPr="00352006">
              <w:rPr>
                <w:rFonts w:ascii="Times New Roman" w:eastAsia="Times New Roman" w:hAnsi="Times New Roman" w:cs="Times New Roman"/>
                <w:b/>
                <w:bCs/>
                <w:lang w:val="uk-UA"/>
              </w:rPr>
              <w:tab/>
              <w:t>кВт/год</w:t>
            </w:r>
            <w:r w:rsidRPr="00352006">
              <w:rPr>
                <w:rFonts w:ascii="Times New Roman" w:eastAsia="Times New Roman" w:hAnsi="Times New Roman" w:cs="Times New Roman"/>
                <w:b/>
                <w:bCs/>
                <w:lang w:val="uk-UA"/>
              </w:rPr>
              <w:tab/>
              <w:t xml:space="preserve"> 1700000</w:t>
            </w:r>
          </w:p>
          <w:p w14:paraId="3A8EDF97"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p>
          <w:p w14:paraId="16246678"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Технічні та якісні характеристики:</w:t>
            </w:r>
          </w:p>
          <w:p w14:paraId="0D7BCF6E"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 xml:space="preserve">1. 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w:t>
            </w:r>
            <w:r w:rsidRPr="00352006">
              <w:rPr>
                <w:rFonts w:ascii="Times New Roman" w:eastAsia="Times New Roman" w:hAnsi="Times New Roman" w:cs="Times New Roman"/>
                <w:b/>
                <w:bCs/>
                <w:lang w:val="uk-UA"/>
              </w:rPr>
              <w:lastRenderedPageBreak/>
              <w:t xml:space="preserve">товару. </w:t>
            </w:r>
          </w:p>
          <w:p w14:paraId="61D16D86"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 xml:space="preserve">2. Учасник-постачальник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w:t>
            </w:r>
          </w:p>
          <w:p w14:paraId="3A63A138"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 xml:space="preserve">3. 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(ЕN 50160:2010, IDT). </w:t>
            </w:r>
          </w:p>
          <w:p w14:paraId="1B2CBEA2"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4. Учасник визначає ціни на товар, який він пропонує поставити за Договором, з урахуванням усіх своїх витрат, які можуть бути ним понесені у ході виконання договору про закупівлю.</w:t>
            </w:r>
          </w:p>
          <w:p w14:paraId="1E9A05CD"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 Ціна електричної енергії не включає вартість послуг з розподілу електричної енергії. Вказані послуги з розподілу електричної енергії оплачуються Споживачем самостійно.</w:t>
            </w:r>
          </w:p>
          <w:p w14:paraId="15DD3EC0"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Умови постачання електричної енергії замовнику повинні відповідати наступним нормативно-правовим актам:</w:t>
            </w:r>
          </w:p>
          <w:p w14:paraId="63BD04D8"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 Закону України «Про публічні закупівлі» від 25.12.2015 № 922-VIII (із змінами);</w:t>
            </w:r>
          </w:p>
          <w:p w14:paraId="656FBC0A"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 Особливостям затвердженими постановою Кабінету Міністрів України від 12 жовтня 2022 р. № 1178</w:t>
            </w:r>
          </w:p>
          <w:p w14:paraId="0A8DC937"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 Закону України «Про ринок електричної енергії» (із змінами);</w:t>
            </w:r>
          </w:p>
          <w:p w14:paraId="7C6D06F0"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 Правилам роздрібного ринку електричної енергії (затверджених постановою НКРЕКП від 14.03.2018 р. № 312);</w:t>
            </w:r>
          </w:p>
          <w:p w14:paraId="7DB01BB8"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 іншим нормативно-правовим актам, прийнятих на виконання Закону України «Про ринок електричної енергії».</w:t>
            </w:r>
          </w:p>
          <w:p w14:paraId="68246FD5"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 xml:space="preserve">8. Товар, що є предметом закупівлі, повинен відповідати вимогам чинного законодавства із захисту довкілля, основним вимогам державної політики України в </w:t>
            </w:r>
            <w:r w:rsidRPr="00352006">
              <w:rPr>
                <w:rFonts w:ascii="Times New Roman" w:eastAsia="Times New Roman" w:hAnsi="Times New Roman" w:cs="Times New Roman"/>
                <w:b/>
                <w:bCs/>
                <w:lang w:val="uk-UA"/>
              </w:rPr>
              <w:lastRenderedPageBreak/>
              <w:t>галузі захисту довкілля та вимогам чинного природоохоронного законодавства.</w:t>
            </w:r>
          </w:p>
          <w:p w14:paraId="58E3204F"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p>
          <w:p w14:paraId="1C5B600D"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14:paraId="78809508"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w:t>
            </w:r>
            <w:r w:rsidRPr="00352006">
              <w:rPr>
                <w:rFonts w:ascii="Times New Roman" w:eastAsia="Times New Roman" w:hAnsi="Times New Roman" w:cs="Times New Roman"/>
                <w:b/>
                <w:bCs/>
                <w:lang w:val="uk-UA"/>
              </w:rPr>
              <w:tab/>
              <w:t>Лист учасника (в довільній формі) в якому учасник підтверджує відповідність тендерної пропозиції  інформації про необхідні технічні, якісні та кількісні характеристики предмета закупівлі, визначені у Додатку 2 до тендерної документації;</w:t>
            </w:r>
          </w:p>
          <w:p w14:paraId="77E24A97"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 договір укладений між учасником та Оператором ринку, про купівлю продаж електричної енергії на  ринку «на добу наперед» та договір укладений між учасником та Оператором ринку, про купівлю продаж електричної енергії  на внутрішньодобового ринку. Договори надаються в електронному вигляді з накладеними кваліфікованими/удосконаленими електронними підписами уповноважених осіб з боку учасника та Оператора ринку.</w:t>
            </w:r>
          </w:p>
          <w:p w14:paraId="3F547845"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 копію ліцензії або копію постанови НКРЕКП про видачу ліцензії на право провадження господарської діяльності з постачання електричної енергії споживачу, або інформацію про наявність учасника в переліку (ліцензійному реєстрі НКРЕКП) суб'єктів господарювання, які відповідно до вимог Закону України «Про ринок електричної енергії» отримали ліцензію на право провадження господарської діяльності з постачання електричної енергії, який розміщено на офіційному веб-сайті НКРЕКП;</w:t>
            </w:r>
          </w:p>
          <w:p w14:paraId="2696BAD2" w14:textId="77777777" w:rsidR="00352006" w:rsidRPr="00352006"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 xml:space="preserve">- лист від НЕК Укренерго з підтвердженням реєстрації представника учасника на інформаційно-комунікаційній платформі </w:t>
            </w:r>
            <w:proofErr w:type="spellStart"/>
            <w:r w:rsidRPr="00352006">
              <w:rPr>
                <w:rFonts w:ascii="Times New Roman" w:eastAsia="Times New Roman" w:hAnsi="Times New Roman" w:cs="Times New Roman"/>
                <w:b/>
                <w:bCs/>
                <w:lang w:val="uk-UA"/>
              </w:rPr>
              <w:t>Датахаб</w:t>
            </w:r>
            <w:proofErr w:type="spellEnd"/>
            <w:r w:rsidRPr="00352006">
              <w:rPr>
                <w:rFonts w:ascii="Times New Roman" w:eastAsia="Times New Roman" w:hAnsi="Times New Roman" w:cs="Times New Roman"/>
                <w:b/>
                <w:bCs/>
                <w:lang w:val="uk-UA"/>
              </w:rPr>
              <w:t xml:space="preserve"> в ролі постачальника електричної енергії, станом на дату подання тендерної пропозиції;</w:t>
            </w:r>
          </w:p>
          <w:p w14:paraId="50FFC2CA" w14:textId="7F89D643" w:rsidR="00352006" w:rsidRPr="00B87297" w:rsidRDefault="00352006" w:rsidP="00352006">
            <w:pPr>
              <w:widowControl w:val="0"/>
              <w:autoSpaceDE w:val="0"/>
              <w:autoSpaceDN w:val="0"/>
              <w:ind w:firstLine="149"/>
              <w:jc w:val="both"/>
              <w:rPr>
                <w:rFonts w:ascii="Times New Roman" w:eastAsia="Times New Roman" w:hAnsi="Times New Roman" w:cs="Times New Roman"/>
                <w:b/>
                <w:bCs/>
                <w:lang w:val="uk-UA"/>
              </w:rPr>
            </w:pPr>
            <w:r w:rsidRPr="00352006">
              <w:rPr>
                <w:rFonts w:ascii="Times New Roman" w:eastAsia="Times New Roman" w:hAnsi="Times New Roman" w:cs="Times New Roman"/>
                <w:b/>
                <w:bCs/>
                <w:lang w:val="uk-UA"/>
              </w:rPr>
              <w:t xml:space="preserve">- на підтвердження наявності </w:t>
            </w:r>
            <w:proofErr w:type="spellStart"/>
            <w:r w:rsidRPr="00352006">
              <w:rPr>
                <w:rFonts w:ascii="Times New Roman" w:eastAsia="Times New Roman" w:hAnsi="Times New Roman" w:cs="Times New Roman"/>
                <w:b/>
                <w:bCs/>
                <w:lang w:val="uk-UA"/>
              </w:rPr>
              <w:t>web</w:t>
            </w:r>
            <w:proofErr w:type="spellEnd"/>
            <w:r w:rsidRPr="00352006">
              <w:rPr>
                <w:rFonts w:ascii="Times New Roman" w:eastAsia="Times New Roman" w:hAnsi="Times New Roman" w:cs="Times New Roman"/>
                <w:b/>
                <w:bCs/>
                <w:lang w:val="uk-UA"/>
              </w:rPr>
              <w:t xml:space="preserve">-сайту Учасника та його відповідності  вимогам </w:t>
            </w:r>
            <w:proofErr w:type="spellStart"/>
            <w:r w:rsidRPr="00352006">
              <w:rPr>
                <w:rFonts w:ascii="Times New Roman" w:eastAsia="Times New Roman" w:hAnsi="Times New Roman" w:cs="Times New Roman"/>
                <w:b/>
                <w:bCs/>
                <w:lang w:val="uk-UA"/>
              </w:rPr>
              <w:t>пп</w:t>
            </w:r>
            <w:proofErr w:type="spellEnd"/>
            <w:r w:rsidRPr="00352006">
              <w:rPr>
                <w:rFonts w:ascii="Times New Roman" w:eastAsia="Times New Roman" w:hAnsi="Times New Roman" w:cs="Times New Roman"/>
                <w:b/>
                <w:bCs/>
                <w:lang w:val="uk-UA"/>
              </w:rPr>
              <w:t xml:space="preserve">. 14 та </w:t>
            </w:r>
            <w:proofErr w:type="spellStart"/>
            <w:r w:rsidRPr="00352006">
              <w:rPr>
                <w:rFonts w:ascii="Times New Roman" w:eastAsia="Times New Roman" w:hAnsi="Times New Roman" w:cs="Times New Roman"/>
                <w:b/>
                <w:bCs/>
                <w:lang w:val="uk-UA"/>
              </w:rPr>
              <w:t>пп</w:t>
            </w:r>
            <w:proofErr w:type="spellEnd"/>
            <w:r w:rsidRPr="00352006">
              <w:rPr>
                <w:rFonts w:ascii="Times New Roman" w:eastAsia="Times New Roman" w:hAnsi="Times New Roman" w:cs="Times New Roman"/>
                <w:b/>
                <w:bCs/>
                <w:lang w:val="uk-UA"/>
              </w:rPr>
              <w:t xml:space="preserve">.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офіційного веб-сайту в мережі Інтернет, з виокремленням та описом відповідності  кожній </w:t>
            </w:r>
            <w:proofErr w:type="spellStart"/>
            <w:r w:rsidRPr="00352006">
              <w:rPr>
                <w:rFonts w:ascii="Times New Roman" w:eastAsia="Times New Roman" w:hAnsi="Times New Roman" w:cs="Times New Roman"/>
                <w:b/>
                <w:bCs/>
                <w:lang w:val="uk-UA"/>
              </w:rPr>
              <w:t>вимозі</w:t>
            </w:r>
            <w:proofErr w:type="spellEnd"/>
            <w:r w:rsidRPr="00352006">
              <w:rPr>
                <w:rFonts w:ascii="Times New Roman" w:eastAsia="Times New Roman" w:hAnsi="Times New Roman" w:cs="Times New Roman"/>
                <w:b/>
                <w:bCs/>
                <w:lang w:val="uk-UA"/>
              </w:rPr>
              <w:t xml:space="preserve">. Інформація про наявність веб-сайту має бути підтверджена оригіналом </w:t>
            </w:r>
            <w:r w:rsidRPr="00352006">
              <w:rPr>
                <w:rFonts w:ascii="Times New Roman" w:eastAsia="Times New Roman" w:hAnsi="Times New Roman" w:cs="Times New Roman"/>
                <w:b/>
                <w:bCs/>
                <w:lang w:val="uk-UA"/>
              </w:rPr>
              <w:lastRenderedPageBreak/>
              <w:t>документа на право власності та/ або право користування та /або договором про надання послуг та/або іншого документу, що підтверджує наявність офіційного веб-сайту  в мережі Інтернет.</w:t>
            </w:r>
          </w:p>
        </w:tc>
      </w:tr>
    </w:tbl>
    <w:p w14:paraId="42531803" w14:textId="77777777" w:rsidR="00482F28" w:rsidRPr="00352006" w:rsidRDefault="00482F28"/>
    <w:sectPr w:rsidR="00482F28" w:rsidRPr="00352006" w:rsidSect="005A56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ios">
    <w:altName w:val="Times New Roman"/>
    <w:charset w:val="00"/>
    <w:family w:val="roman"/>
    <w:pitch w:val="default"/>
    <w:sig w:usb0="00000000" w:usb1="00000000" w:usb2="00000000" w:usb3="00000000" w:csb0="00040001"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646DCD"/>
    <w:multiLevelType w:val="multilevel"/>
    <w:tmpl w:val="4566D9C6"/>
    <w:lvl w:ilvl="0">
      <w:start w:val="5"/>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289" w:hanging="360"/>
      </w:pPr>
      <w:rPr>
        <w:rFonts w:ascii="Courier New" w:eastAsia="Courier New" w:hAnsi="Courier New" w:cs="Courier New"/>
        <w:vertAlign w:val="baseline"/>
      </w:rPr>
    </w:lvl>
    <w:lvl w:ilvl="2">
      <w:start w:val="1"/>
      <w:numFmt w:val="bullet"/>
      <w:lvlText w:val="▪"/>
      <w:lvlJc w:val="left"/>
      <w:pPr>
        <w:ind w:left="2009" w:hanging="360"/>
      </w:pPr>
      <w:rPr>
        <w:rFonts w:ascii="Noto Sans Symbols" w:eastAsia="Noto Sans Symbols" w:hAnsi="Noto Sans Symbols" w:cs="Noto Sans Symbols"/>
        <w:vertAlign w:val="baseline"/>
      </w:rPr>
    </w:lvl>
    <w:lvl w:ilvl="3">
      <w:start w:val="1"/>
      <w:numFmt w:val="bullet"/>
      <w:lvlText w:val="●"/>
      <w:lvlJc w:val="left"/>
      <w:pPr>
        <w:ind w:left="2729" w:hanging="360"/>
      </w:pPr>
      <w:rPr>
        <w:rFonts w:ascii="Noto Sans Symbols" w:eastAsia="Noto Sans Symbols" w:hAnsi="Noto Sans Symbols" w:cs="Noto Sans Symbols"/>
        <w:vertAlign w:val="baseline"/>
      </w:rPr>
    </w:lvl>
    <w:lvl w:ilvl="4">
      <w:start w:val="1"/>
      <w:numFmt w:val="bullet"/>
      <w:lvlText w:val="o"/>
      <w:lvlJc w:val="left"/>
      <w:pPr>
        <w:ind w:left="3449" w:hanging="360"/>
      </w:pPr>
      <w:rPr>
        <w:rFonts w:ascii="Courier New" w:eastAsia="Courier New" w:hAnsi="Courier New" w:cs="Courier New"/>
        <w:vertAlign w:val="baseline"/>
      </w:rPr>
    </w:lvl>
    <w:lvl w:ilvl="5">
      <w:start w:val="1"/>
      <w:numFmt w:val="bullet"/>
      <w:lvlText w:val="▪"/>
      <w:lvlJc w:val="left"/>
      <w:pPr>
        <w:ind w:left="4169" w:hanging="360"/>
      </w:pPr>
      <w:rPr>
        <w:rFonts w:ascii="Noto Sans Symbols" w:eastAsia="Noto Sans Symbols" w:hAnsi="Noto Sans Symbols" w:cs="Noto Sans Symbols"/>
        <w:vertAlign w:val="baseline"/>
      </w:rPr>
    </w:lvl>
    <w:lvl w:ilvl="6">
      <w:start w:val="1"/>
      <w:numFmt w:val="bullet"/>
      <w:lvlText w:val="●"/>
      <w:lvlJc w:val="left"/>
      <w:pPr>
        <w:ind w:left="4889" w:hanging="360"/>
      </w:pPr>
      <w:rPr>
        <w:rFonts w:ascii="Noto Sans Symbols" w:eastAsia="Noto Sans Symbols" w:hAnsi="Noto Sans Symbols" w:cs="Noto Sans Symbols"/>
        <w:vertAlign w:val="baseline"/>
      </w:rPr>
    </w:lvl>
    <w:lvl w:ilvl="7">
      <w:start w:val="1"/>
      <w:numFmt w:val="bullet"/>
      <w:lvlText w:val="o"/>
      <w:lvlJc w:val="left"/>
      <w:pPr>
        <w:ind w:left="5609" w:hanging="360"/>
      </w:pPr>
      <w:rPr>
        <w:rFonts w:ascii="Courier New" w:eastAsia="Courier New" w:hAnsi="Courier New" w:cs="Courier New"/>
        <w:vertAlign w:val="baseline"/>
      </w:rPr>
    </w:lvl>
    <w:lvl w:ilvl="8">
      <w:start w:val="1"/>
      <w:numFmt w:val="bullet"/>
      <w:lvlText w:val="▪"/>
      <w:lvlJc w:val="left"/>
      <w:pPr>
        <w:ind w:left="6329" w:hanging="360"/>
      </w:pPr>
      <w:rPr>
        <w:rFonts w:ascii="Noto Sans Symbols" w:eastAsia="Noto Sans Symbols" w:hAnsi="Noto Sans Symbols" w:cs="Noto Sans Symbols"/>
        <w:vertAlign w:val="baseline"/>
      </w:rPr>
    </w:lvl>
  </w:abstractNum>
  <w:abstractNum w:abstractNumId="11"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4"/>
  </w:num>
  <w:num w:numId="2">
    <w:abstractNumId w:val="8"/>
  </w:num>
  <w:num w:numId="3">
    <w:abstractNumId w:val="9"/>
  </w:num>
  <w:num w:numId="4">
    <w:abstractNumId w:val="4"/>
  </w:num>
  <w:num w:numId="5">
    <w:abstractNumId w:val="5"/>
  </w:num>
  <w:num w:numId="6">
    <w:abstractNumId w:val="1"/>
  </w:num>
  <w:num w:numId="7">
    <w:abstractNumId w:val="12"/>
  </w:num>
  <w:num w:numId="8">
    <w:abstractNumId w:val="10"/>
  </w:num>
  <w:num w:numId="9">
    <w:abstractNumId w:val="13"/>
  </w:num>
  <w:num w:numId="10">
    <w:abstractNumId w:val="3"/>
  </w:num>
  <w:num w:numId="11">
    <w:abstractNumId w:val="7"/>
  </w:num>
  <w:num w:numId="12">
    <w:abstractNumId w:val="11"/>
  </w:num>
  <w:num w:numId="13">
    <w:abstractNumId w:val="6"/>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55"/>
    <w:rsid w:val="00014B35"/>
    <w:rsid w:val="00072DF0"/>
    <w:rsid w:val="00094602"/>
    <w:rsid w:val="000E3AEA"/>
    <w:rsid w:val="002C0F94"/>
    <w:rsid w:val="002E6E98"/>
    <w:rsid w:val="003016FE"/>
    <w:rsid w:val="00316DC5"/>
    <w:rsid w:val="00350634"/>
    <w:rsid w:val="00350A1C"/>
    <w:rsid w:val="00352006"/>
    <w:rsid w:val="00385FAD"/>
    <w:rsid w:val="003A2BAA"/>
    <w:rsid w:val="00417AD9"/>
    <w:rsid w:val="00482F28"/>
    <w:rsid w:val="004E14B1"/>
    <w:rsid w:val="005A56F6"/>
    <w:rsid w:val="005E1AA9"/>
    <w:rsid w:val="006772AB"/>
    <w:rsid w:val="006856DC"/>
    <w:rsid w:val="006F1755"/>
    <w:rsid w:val="007239F1"/>
    <w:rsid w:val="00735FE6"/>
    <w:rsid w:val="007765DC"/>
    <w:rsid w:val="007F4381"/>
    <w:rsid w:val="00800C5A"/>
    <w:rsid w:val="00815E3F"/>
    <w:rsid w:val="008D3D14"/>
    <w:rsid w:val="008F72DF"/>
    <w:rsid w:val="009F45F2"/>
    <w:rsid w:val="00AD50F0"/>
    <w:rsid w:val="00B11782"/>
    <w:rsid w:val="00B84CD5"/>
    <w:rsid w:val="00B87297"/>
    <w:rsid w:val="00B9632E"/>
    <w:rsid w:val="00BC7354"/>
    <w:rsid w:val="00BF768B"/>
    <w:rsid w:val="00C04342"/>
    <w:rsid w:val="00C068E1"/>
    <w:rsid w:val="00C30154"/>
    <w:rsid w:val="00C70AB8"/>
    <w:rsid w:val="00CB2287"/>
    <w:rsid w:val="00CB7ADC"/>
    <w:rsid w:val="00D006F4"/>
    <w:rsid w:val="00D161A8"/>
    <w:rsid w:val="00DA45C1"/>
    <w:rsid w:val="00E94DAC"/>
    <w:rsid w:val="00F04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07EE"/>
  <w15:docId w15:val="{E4B0C629-1B3F-4A2F-95E8-BE054AC6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F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94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semiHidden/>
    <w:unhideWhenUsed/>
    <w:rsid w:val="00E94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Знак Знак Знак"/>
    <w:aliases w:val="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next w:val="a4"/>
    <w:link w:val="a5"/>
    <w:qFormat/>
    <w:rsid w:val="00E94DAC"/>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uiPriority w:val="99"/>
    <w:qFormat/>
    <w:locked/>
    <w:rsid w:val="00E94DAC"/>
    <w:rPr>
      <w:rFonts w:ascii="Times New Roman" w:eastAsia="Times New Roman" w:hAnsi="Times New Roman" w:cs="Times New Roman"/>
      <w:sz w:val="24"/>
      <w:szCs w:val="24"/>
      <w:lang w:eastAsia="zh-CN"/>
    </w:rPr>
  </w:style>
  <w:style w:type="paragraph" w:styleId="a4">
    <w:name w:val="Normal (Web)"/>
    <w:aliases w:val="Обычный (Web),З,Обычный (веб) Знак1,Обычный (веб) Знак Знак1,Обычный (веб) Знак Знак Знак,Обычный (веб) Знак Знак,Обычный (веб) Знак2 Знак Знак,Обычный (веб) Знак Знак1 Знак Знак"/>
    <w:basedOn w:val="a"/>
    <w:uiPriority w:val="99"/>
    <w:unhideWhenUsed/>
    <w:qFormat/>
    <w:rsid w:val="00E94DAC"/>
    <w:rPr>
      <w:rFonts w:ascii="Times New Roman" w:hAnsi="Times New Roman" w:cs="Times New Roman"/>
      <w:sz w:val="24"/>
      <w:szCs w:val="24"/>
    </w:rPr>
  </w:style>
  <w:style w:type="character" w:styleId="a6">
    <w:name w:val="Hyperlink"/>
    <w:uiPriority w:val="99"/>
    <w:qFormat/>
    <w:rsid w:val="00C70AB8"/>
    <w:rPr>
      <w:color w:val="0000FF"/>
      <w:u w:val="single"/>
    </w:rPr>
  </w:style>
  <w:style w:type="paragraph" w:customStyle="1" w:styleId="a7">
    <w:basedOn w:val="a"/>
    <w:next w:val="a4"/>
    <w:qFormat/>
    <w:rsid w:val="00B11782"/>
    <w:pPr>
      <w:suppressAutoHyphens/>
      <w:spacing w:before="280" w:after="280" w:line="240" w:lineRule="auto"/>
    </w:pPr>
    <w:rPr>
      <w:rFonts w:ascii="Times New Roman" w:eastAsia="Times New Roman" w:hAnsi="Times New Roman" w:cs="Times New Roman"/>
      <w:sz w:val="24"/>
      <w:szCs w:val="24"/>
      <w:lang w:val="x-none" w:eastAsia="zh-CN"/>
    </w:rPr>
  </w:style>
  <w:style w:type="paragraph" w:customStyle="1" w:styleId="LO-normal1">
    <w:name w:val="LO-normal1"/>
    <w:rsid w:val="00C70AB8"/>
    <w:pPr>
      <w:suppressAutoHyphens/>
      <w:spacing w:after="0"/>
    </w:pPr>
    <w:rPr>
      <w:rFonts w:ascii="Arial" w:eastAsia="Arial" w:hAnsi="Arial" w:cs="Arial"/>
      <w:color w:val="000000"/>
      <w:lang w:eastAsia="zh-CN"/>
    </w:rPr>
  </w:style>
  <w:style w:type="paragraph" w:customStyle="1" w:styleId="2">
    <w:name w:val="Обычный2"/>
    <w:rsid w:val="00C70AB8"/>
    <w:pPr>
      <w:spacing w:after="0"/>
    </w:pPr>
    <w:rPr>
      <w:rFonts w:ascii="Arial" w:eastAsia="Arial" w:hAnsi="Arial" w:cs="Arial"/>
      <w:color w:val="000000"/>
      <w:lang w:eastAsia="ru-RU"/>
    </w:rPr>
  </w:style>
  <w:style w:type="character" w:customStyle="1" w:styleId="fontstyle01">
    <w:name w:val="fontstyle01"/>
    <w:rsid w:val="00C70AB8"/>
    <w:rPr>
      <w:rFonts w:ascii="Helios" w:hAnsi="Helios" w:hint="default"/>
      <w:b w:val="0"/>
      <w:bCs w:val="0"/>
      <w:i w:val="0"/>
      <w:iCs w:val="0"/>
      <w:color w:val="242021"/>
      <w:sz w:val="18"/>
      <w:szCs w:val="18"/>
    </w:rPr>
  </w:style>
  <w:style w:type="paragraph" w:customStyle="1" w:styleId="Standard">
    <w:name w:val="Standard"/>
    <w:rsid w:val="00385FAD"/>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0">
    <w:name w:val="Обычный1"/>
    <w:uiPriority w:val="99"/>
    <w:qFormat/>
    <w:rsid w:val="00385FAD"/>
    <w:pPr>
      <w:spacing w:after="0"/>
    </w:pPr>
    <w:rPr>
      <w:rFonts w:ascii="Arial" w:eastAsia="Times New Roman" w:hAnsi="Arial" w:cs="Arial"/>
      <w:color w:val="000000"/>
      <w:lang w:eastAsia="ru-RU"/>
    </w:rPr>
  </w:style>
  <w:style w:type="paragraph" w:styleId="a8">
    <w:name w:val="List Paragraph"/>
    <w:aliases w:val="AC List 01,название табл/рис,Список уровня 2,Bullet Number,Bullet 1,Use Case List Paragraph,lp1,lp11,List Paragraph11,EBRD List,заголовок 1.1,Elenco Normale,Chapter10,Текст таблицы"/>
    <w:basedOn w:val="a"/>
    <w:link w:val="a9"/>
    <w:uiPriority w:val="34"/>
    <w:qFormat/>
    <w:rsid w:val="00417AD9"/>
    <w:pPr>
      <w:spacing w:after="160" w:line="259" w:lineRule="auto"/>
      <w:ind w:left="720"/>
      <w:contextualSpacing/>
    </w:pPr>
    <w:rPr>
      <w:rFonts w:ascii="Calibri" w:eastAsia="Calibri" w:hAnsi="Calibri" w:cs="Times New Roman"/>
    </w:rPr>
  </w:style>
  <w:style w:type="paragraph" w:customStyle="1" w:styleId="LO-normal">
    <w:name w:val="LO-normal"/>
    <w:qFormat/>
    <w:rsid w:val="00417AD9"/>
    <w:pPr>
      <w:spacing w:after="0" w:line="240" w:lineRule="auto"/>
    </w:pPr>
    <w:rPr>
      <w:rFonts w:ascii="Calibri" w:eastAsia="Calibri" w:hAnsi="Calibri" w:cs="Calibri"/>
      <w:sz w:val="20"/>
      <w:szCs w:val="20"/>
      <w:lang w:val="uk-UA" w:eastAsia="zh-CN" w:bidi="hi-IN"/>
    </w:rPr>
  </w:style>
  <w:style w:type="character" w:customStyle="1" w:styleId="a9">
    <w:name w:val="Абзац списку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Elenco Normale Знак,Chapter10 Знак"/>
    <w:link w:val="a8"/>
    <w:uiPriority w:val="34"/>
    <w:qFormat/>
    <w:locked/>
    <w:rsid w:val="00417AD9"/>
    <w:rPr>
      <w:rFonts w:ascii="Calibri" w:eastAsia="Calibri" w:hAnsi="Calibri" w:cs="Times New Roman"/>
    </w:rPr>
  </w:style>
  <w:style w:type="paragraph" w:customStyle="1" w:styleId="3">
    <w:name w:val="Обычный3"/>
    <w:rsid w:val="002E6E98"/>
    <w:pPr>
      <w:spacing w:after="0"/>
    </w:pPr>
    <w:rPr>
      <w:rFonts w:ascii="Arial" w:eastAsia="Arial" w:hAnsi="Arial" w:cs="Arial"/>
      <w:color w:val="000000"/>
      <w:lang w:eastAsia="ru-RU"/>
    </w:rPr>
  </w:style>
  <w:style w:type="paragraph" w:customStyle="1" w:styleId="rvps2">
    <w:name w:val="rvps2"/>
    <w:basedOn w:val="a"/>
    <w:qFormat/>
    <w:rsid w:val="008F72DF"/>
    <w:pPr>
      <w:spacing w:before="100" w:beforeAutospacing="1" w:after="100" w:afterAutospacing="1" w:line="240" w:lineRule="auto"/>
    </w:pPr>
    <w:rPr>
      <w:rFonts w:ascii="Times New Roman" w:eastAsia="Calibri"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9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7413</Words>
  <Characters>4226</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11616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4</cp:revision>
  <dcterms:created xsi:type="dcterms:W3CDTF">2024-04-01T16:45:00Z</dcterms:created>
  <dcterms:modified xsi:type="dcterms:W3CDTF">2024-04-01T17:02:00Z</dcterms:modified>
</cp:coreProperties>
</file>