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FC70EA">
        <w:rPr>
          <w:rFonts w:ascii="Times New Roman" w:hAnsi="Times New Roman" w:cs="Times New Roman"/>
          <w:sz w:val="24"/>
          <w:szCs w:val="24"/>
          <w:lang w:val="ru-RU"/>
        </w:rPr>
        <w:t>3</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154823" w:rsidRDefault="00CC068E" w:rsidP="00C85687">
      <w:pPr>
        <w:spacing w:line="276" w:lineRule="auto"/>
        <w:ind w:firstLine="567"/>
        <w:jc w:val="both"/>
        <w:rPr>
          <w:rFonts w:ascii="Times New Roman" w:hAnsi="Times New Roman" w:cs="Times New Roman"/>
          <w:sz w:val="24"/>
          <w:szCs w:val="24"/>
        </w:rPr>
      </w:pPr>
      <w:r w:rsidRPr="00323933">
        <w:rPr>
          <w:rFonts w:ascii="Times New Roman" w:hAnsi="Times New Roman" w:cs="Times New Roman"/>
          <w:sz w:val="24"/>
          <w:szCs w:val="24"/>
        </w:rPr>
        <w:t xml:space="preserve">1.1. Постачальник </w:t>
      </w:r>
      <w:r w:rsidRPr="00065B2E">
        <w:rPr>
          <w:rFonts w:ascii="Times New Roman" w:hAnsi="Times New Roman" w:cs="Times New Roman"/>
          <w:sz w:val="24"/>
          <w:szCs w:val="24"/>
        </w:rPr>
        <w:t>зобов’язується в порядку та на умовах визначених цим Договором протягом 202</w:t>
      </w:r>
      <w:r w:rsidR="00384921">
        <w:rPr>
          <w:rFonts w:ascii="Times New Roman" w:hAnsi="Times New Roman" w:cs="Times New Roman"/>
          <w:sz w:val="24"/>
          <w:szCs w:val="24"/>
          <w:lang w:val="ru-RU"/>
        </w:rPr>
        <w:t>3</w:t>
      </w:r>
      <w:r w:rsidRPr="00065B2E">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A64660">
        <w:rPr>
          <w:rFonts w:ascii="Times New Roman CYR" w:eastAsia="Times New Roman" w:hAnsi="Times New Roman CYR" w:cs="Times New Roman"/>
          <w:b/>
          <w:sz w:val="24"/>
          <w:szCs w:val="24"/>
        </w:rPr>
        <w:t>Сметана, кефір, йогурт</w:t>
      </w:r>
      <w:r w:rsidR="00C85687" w:rsidRPr="00C85687">
        <w:rPr>
          <w:rFonts w:ascii="Times New Roman CYR" w:eastAsia="Times New Roman" w:hAnsi="Times New Roman CYR" w:cs="Times New Roman"/>
          <w:sz w:val="24"/>
          <w:szCs w:val="24"/>
        </w:rPr>
        <w:t xml:space="preserve"> за</w:t>
      </w:r>
      <w:r w:rsidR="00A64660">
        <w:rPr>
          <w:rFonts w:ascii="Times New Roman CYR" w:eastAsia="Times New Roman" w:hAnsi="Times New Roman CYR" w:cs="Times New Roman"/>
          <w:sz w:val="24"/>
          <w:szCs w:val="24"/>
        </w:rPr>
        <w:t xml:space="preserve"> ЄЗС ДК 021:2015 (CPV): код 15550000-8 – Молочні продукти різні</w:t>
      </w:r>
      <w:r w:rsidR="002A628C" w:rsidRPr="0036550F">
        <w:rPr>
          <w:rFonts w:ascii="Times New Roman" w:hAnsi="Times New Roman" w:cs="Times New Roman"/>
          <w:color w:val="000000"/>
          <w:sz w:val="24"/>
          <w:szCs w:val="24"/>
        </w:rPr>
        <w:t xml:space="preserve"> </w:t>
      </w:r>
      <w:r w:rsidRPr="00065B2E">
        <w:rPr>
          <w:rFonts w:ascii="Times New Roman" w:hAnsi="Times New Roman" w:cs="Times New Roman"/>
          <w:sz w:val="24"/>
          <w:szCs w:val="24"/>
        </w:rPr>
        <w:t xml:space="preserve">(далі - Товар), а Замовник зобов’язується прийняти </w:t>
      </w:r>
      <w:r w:rsidR="00154823">
        <w:rPr>
          <w:rFonts w:ascii="Times New Roman" w:hAnsi="Times New Roman" w:cs="Times New Roman"/>
          <w:sz w:val="24"/>
          <w:szCs w:val="24"/>
        </w:rPr>
        <w:t>та</w:t>
      </w:r>
      <w:r w:rsidRPr="00065B2E">
        <w:rPr>
          <w:rFonts w:ascii="Times New Roman" w:hAnsi="Times New Roman" w:cs="Times New Roman"/>
          <w:sz w:val="24"/>
          <w:szCs w:val="24"/>
        </w:rPr>
        <w:t xml:space="preserve"> оплатити такий Товар.</w:t>
      </w:r>
    </w:p>
    <w:p w:rsidR="00CC068E" w:rsidRPr="00065B2E" w:rsidRDefault="00CC068E" w:rsidP="002A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r w:rsidR="000164A9">
        <w:rPr>
          <w:rFonts w:ascii="Times New Roman" w:hAnsi="Times New Roman" w:cs="Times New Roman"/>
          <w:sz w:val="24"/>
          <w:szCs w:val="24"/>
          <w:lang w:val="ru-RU"/>
        </w:rPr>
        <w:t xml:space="preserve"> ТУ</w:t>
      </w:r>
      <w:bookmarkStart w:id="0" w:name="_GoBack"/>
      <w:bookmarkEnd w:id="0"/>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lastRenderedPageBreak/>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hAnsi="Times New Roman"/>
          <w:sz w:val="24"/>
          <w:szCs w:val="24"/>
          <w:lang w:val="ru-RU"/>
        </w:rPr>
        <w:t>3</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A64660">
        <w:rPr>
          <w:rFonts w:ascii="Times New Roman" w:hAnsi="Times New Roman" w:cs="Times New Roman"/>
          <w:sz w:val="24"/>
          <w:szCs w:val="24"/>
        </w:rPr>
        <w:t>один-</w:t>
      </w:r>
      <w:r w:rsidR="006738F5">
        <w:rPr>
          <w:rFonts w:ascii="Times New Roman" w:hAnsi="Times New Roman" w:cs="Times New Roman"/>
          <w:sz w:val="24"/>
          <w:szCs w:val="24"/>
        </w:rPr>
        <w:t>два</w:t>
      </w:r>
      <w:r w:rsidR="008E16AF">
        <w:rPr>
          <w:rFonts w:ascii="Times New Roman" w:hAnsi="Times New Roman" w:cs="Times New Roman"/>
          <w:sz w:val="24"/>
          <w:szCs w:val="24"/>
        </w:rPr>
        <w:t xml:space="preserve"> рази на тиждень)</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FC70EA">
        <w:rPr>
          <w:rFonts w:ascii="Times New Roman" w:hAnsi="Times New Roman" w:cs="Times New Roman"/>
          <w:color w:val="000000"/>
          <w:sz w:val="24"/>
          <w:szCs w:val="24"/>
          <w:lang w:val="ru-RU"/>
        </w:rPr>
        <w:t>3</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w:t>
      </w:r>
      <w:r w:rsidRPr="00A44B59">
        <w:rPr>
          <w:rFonts w:ascii="Times New Roman" w:hAnsi="Times New Roman" w:cs="Times New Roman"/>
          <w:sz w:val="24"/>
          <w:szCs w:val="24"/>
        </w:rPr>
        <w:lastRenderedPageBreak/>
        <w:t xml:space="preserve">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w:t>
      </w:r>
      <w:r w:rsidRPr="00FC70EA">
        <w:rPr>
          <w:rFonts w:ascii="Times New Roman" w:eastAsia="Times New Roman" w:hAnsi="Times New Roman" w:cs="Times New Roman"/>
          <w:sz w:val="24"/>
          <w:szCs w:val="24"/>
          <w:lang w:eastAsia="x-none"/>
        </w:rPr>
        <w:lastRenderedPageBreak/>
        <w:t>(форс-мажорні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31.12.2023,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w:t>
      </w:r>
      <w:r w:rsidRPr="00FC70EA">
        <w:rPr>
          <w:rFonts w:ascii="Times New Roman" w:hAnsi="Times New Roman" w:cs="Times New Roman"/>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FC70EA">
        <w:rPr>
          <w:rFonts w:ascii="Times New Roman" w:hAnsi="Times New Roman" w:cs="Times New Roman"/>
          <w:b/>
          <w:sz w:val="24"/>
          <w:szCs w:val="24"/>
          <w:lang w:val="ru-RU"/>
        </w:rPr>
        <w:t>3</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55" w:rsidRDefault="00491055">
      <w:r>
        <w:separator/>
      </w:r>
    </w:p>
  </w:endnote>
  <w:endnote w:type="continuationSeparator" w:id="0">
    <w:p w:rsidR="00491055" w:rsidRDefault="0049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55" w:rsidRDefault="00491055">
      <w:r>
        <w:separator/>
      </w:r>
    </w:p>
  </w:footnote>
  <w:footnote w:type="continuationSeparator" w:id="0">
    <w:p w:rsidR="00491055" w:rsidRDefault="004910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0164A9">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164A9"/>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210F12"/>
    <w:rsid w:val="002144AC"/>
    <w:rsid w:val="0023022F"/>
    <w:rsid w:val="002377EF"/>
    <w:rsid w:val="00241D05"/>
    <w:rsid w:val="00262163"/>
    <w:rsid w:val="00272511"/>
    <w:rsid w:val="00296887"/>
    <w:rsid w:val="00296E07"/>
    <w:rsid w:val="002A628C"/>
    <w:rsid w:val="002B4F60"/>
    <w:rsid w:val="002C58FF"/>
    <w:rsid w:val="002D280E"/>
    <w:rsid w:val="002E0BC2"/>
    <w:rsid w:val="002E14B2"/>
    <w:rsid w:val="002F12C4"/>
    <w:rsid w:val="0031639D"/>
    <w:rsid w:val="00322F40"/>
    <w:rsid w:val="00323933"/>
    <w:rsid w:val="0034142E"/>
    <w:rsid w:val="003429FF"/>
    <w:rsid w:val="0036697A"/>
    <w:rsid w:val="00380B45"/>
    <w:rsid w:val="00384921"/>
    <w:rsid w:val="0039179D"/>
    <w:rsid w:val="003A1CF4"/>
    <w:rsid w:val="003B03E6"/>
    <w:rsid w:val="003B2415"/>
    <w:rsid w:val="003B6FC8"/>
    <w:rsid w:val="003C2EB4"/>
    <w:rsid w:val="003C5441"/>
    <w:rsid w:val="003E2C82"/>
    <w:rsid w:val="003F1FF1"/>
    <w:rsid w:val="003F4F1C"/>
    <w:rsid w:val="00431E55"/>
    <w:rsid w:val="0044281B"/>
    <w:rsid w:val="004528A3"/>
    <w:rsid w:val="00452E96"/>
    <w:rsid w:val="00452F14"/>
    <w:rsid w:val="00472C92"/>
    <w:rsid w:val="00480312"/>
    <w:rsid w:val="00485FB6"/>
    <w:rsid w:val="00491055"/>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93ED6"/>
    <w:rsid w:val="005A4C77"/>
    <w:rsid w:val="005A69E6"/>
    <w:rsid w:val="005D048F"/>
    <w:rsid w:val="005D1C10"/>
    <w:rsid w:val="006059CE"/>
    <w:rsid w:val="006141C5"/>
    <w:rsid w:val="00623213"/>
    <w:rsid w:val="00625E83"/>
    <w:rsid w:val="00652419"/>
    <w:rsid w:val="006738F5"/>
    <w:rsid w:val="00680184"/>
    <w:rsid w:val="0068275B"/>
    <w:rsid w:val="00683A48"/>
    <w:rsid w:val="006856CD"/>
    <w:rsid w:val="00697B0E"/>
    <w:rsid w:val="006B26D1"/>
    <w:rsid w:val="006B5F91"/>
    <w:rsid w:val="006C53C5"/>
    <w:rsid w:val="006F1902"/>
    <w:rsid w:val="007000DB"/>
    <w:rsid w:val="007844AB"/>
    <w:rsid w:val="007A4A03"/>
    <w:rsid w:val="007B08B6"/>
    <w:rsid w:val="007C7122"/>
    <w:rsid w:val="007D596C"/>
    <w:rsid w:val="007E437C"/>
    <w:rsid w:val="008029F7"/>
    <w:rsid w:val="008039FB"/>
    <w:rsid w:val="00816F52"/>
    <w:rsid w:val="00834DD3"/>
    <w:rsid w:val="00844F6C"/>
    <w:rsid w:val="00854306"/>
    <w:rsid w:val="00863E60"/>
    <w:rsid w:val="00870DAB"/>
    <w:rsid w:val="0088252A"/>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97C2F"/>
    <w:rsid w:val="009A6958"/>
    <w:rsid w:val="009B0463"/>
    <w:rsid w:val="009B46E4"/>
    <w:rsid w:val="009C7E00"/>
    <w:rsid w:val="009E20FB"/>
    <w:rsid w:val="009F389D"/>
    <w:rsid w:val="00A268FB"/>
    <w:rsid w:val="00A26A6A"/>
    <w:rsid w:val="00A33928"/>
    <w:rsid w:val="00A44B59"/>
    <w:rsid w:val="00A64660"/>
    <w:rsid w:val="00A6562C"/>
    <w:rsid w:val="00A7464F"/>
    <w:rsid w:val="00AD4F40"/>
    <w:rsid w:val="00AD65E6"/>
    <w:rsid w:val="00AE443E"/>
    <w:rsid w:val="00AF1288"/>
    <w:rsid w:val="00B0166E"/>
    <w:rsid w:val="00B25418"/>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68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355E"/>
    <w:rsid w:val="00DA6FF4"/>
    <w:rsid w:val="00DD0E63"/>
    <w:rsid w:val="00DD4065"/>
    <w:rsid w:val="00E131BF"/>
    <w:rsid w:val="00E162E6"/>
    <w:rsid w:val="00E16EDF"/>
    <w:rsid w:val="00E22CE4"/>
    <w:rsid w:val="00E33230"/>
    <w:rsid w:val="00E42F98"/>
    <w:rsid w:val="00E67D61"/>
    <w:rsid w:val="00E81642"/>
    <w:rsid w:val="00EA5074"/>
    <w:rsid w:val="00EA77F7"/>
    <w:rsid w:val="00EB161D"/>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CE352"/>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1</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65</cp:revision>
  <cp:lastPrinted>2020-06-05T09:18:00Z</cp:lastPrinted>
  <dcterms:created xsi:type="dcterms:W3CDTF">2020-05-05T13:00:00Z</dcterms:created>
  <dcterms:modified xsi:type="dcterms:W3CDTF">2023-01-27T13:40:00Z</dcterms:modified>
</cp:coreProperties>
</file>