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0" w:rsidRPr="00101268" w:rsidRDefault="008639AC" w:rsidP="00277C90">
      <w:pPr>
        <w:rPr>
          <w:b/>
          <w:bCs/>
        </w:rPr>
      </w:pPr>
      <w:r>
        <w:rPr>
          <w:b/>
          <w:bCs/>
          <w:color w:val="000000"/>
        </w:rPr>
        <w:t>Додаток № 1</w:t>
      </w:r>
      <w:r w:rsidR="00277C90">
        <w:rPr>
          <w:b/>
          <w:bCs/>
          <w:color w:val="000000"/>
        </w:rPr>
        <w:t xml:space="preserve"> </w:t>
      </w:r>
      <w:r w:rsidR="00277C90" w:rsidRPr="00101268">
        <w:rPr>
          <w:b/>
          <w:bCs/>
        </w:rPr>
        <w:t>до тендерної документації</w:t>
      </w:r>
    </w:p>
    <w:p w:rsidR="008639AC" w:rsidRPr="001D3A74" w:rsidRDefault="008639AC" w:rsidP="00277C90">
      <w:pPr>
        <w:rPr>
          <w:b/>
          <w:color w:val="000000"/>
        </w:rPr>
      </w:pPr>
      <w:r w:rsidRPr="001D3A74">
        <w:rPr>
          <w:b/>
          <w:color w:val="000000"/>
        </w:rPr>
        <w:t>Кваліфікаційні критерії та перелік документів, що підтверджують інформацію відповідність учасник</w:t>
      </w:r>
      <w:r>
        <w:rPr>
          <w:b/>
          <w:color w:val="000000"/>
        </w:rPr>
        <w:t>ацим</w:t>
      </w:r>
      <w:r w:rsidRPr="001D3A74">
        <w:rPr>
          <w:b/>
          <w:color w:val="000000"/>
        </w:rPr>
        <w:t xml:space="preserve"> критеріям:</w:t>
      </w:r>
    </w:p>
    <w:p w:rsidR="008639AC" w:rsidRPr="001D3A74" w:rsidRDefault="008639AC" w:rsidP="008639AC">
      <w:pPr>
        <w:widowControl w:val="0"/>
        <w:tabs>
          <w:tab w:val="left" w:pos="1080"/>
        </w:tabs>
        <w:jc w:val="both"/>
        <w:rPr>
          <w:color w:val="000000"/>
        </w:rPr>
      </w:pPr>
    </w:p>
    <w:p w:rsidR="008639AC" w:rsidRPr="001D3A74" w:rsidRDefault="001F6127" w:rsidP="008639AC">
      <w:pPr>
        <w:widowControl w:val="0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Д</w:t>
      </w:r>
      <w:r w:rsidR="008639AC" w:rsidRPr="001D3A74">
        <w:rPr>
          <w:color w:val="000000"/>
        </w:rPr>
        <w:t xml:space="preserve">ля підтвердження </w:t>
      </w:r>
      <w:r w:rsidR="008639AC">
        <w:rPr>
          <w:color w:val="000000"/>
        </w:rPr>
        <w:t>своєї</w:t>
      </w:r>
      <w:r w:rsidR="008639AC" w:rsidRPr="001D3A74">
        <w:rPr>
          <w:color w:val="000000"/>
        </w:rPr>
        <w:t xml:space="preserve"> відповід</w:t>
      </w:r>
      <w:r>
        <w:rPr>
          <w:color w:val="000000"/>
        </w:rPr>
        <w:t>ності встановленим Замовником кваліфікаційним критеріям згідно</w:t>
      </w:r>
      <w:r w:rsidR="008639AC" w:rsidRPr="001D3A74">
        <w:rPr>
          <w:color w:val="000000"/>
        </w:rPr>
        <w:t xml:space="preserve">  ст. 16 Закону</w:t>
      </w:r>
      <w:r>
        <w:rPr>
          <w:color w:val="000000"/>
        </w:rPr>
        <w:t xml:space="preserve"> Учасник у складі своєї тендерної пропозиції подає</w:t>
      </w:r>
      <w:r w:rsidR="008639AC" w:rsidRPr="001D3A74">
        <w:rPr>
          <w:color w:val="000000"/>
        </w:rPr>
        <w:t>:</w:t>
      </w:r>
    </w:p>
    <w:p w:rsidR="008639AC" w:rsidRPr="001D3A74" w:rsidRDefault="008639AC" w:rsidP="008639AC">
      <w:pPr>
        <w:widowControl w:val="0"/>
        <w:tabs>
          <w:tab w:val="left" w:pos="1080"/>
        </w:tabs>
        <w:jc w:val="both"/>
        <w:rPr>
          <w:color w:val="000000"/>
        </w:rPr>
      </w:pPr>
    </w:p>
    <w:tbl>
      <w:tblPr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3060"/>
        <w:gridCol w:w="6716"/>
      </w:tblGrid>
      <w:tr w:rsidR="008639AC" w:rsidRPr="001D3A74" w:rsidTr="00C008F6">
        <w:trPr>
          <w:trHeight w:val="5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  <w:vAlign w:val="center"/>
          </w:tcPr>
          <w:p w:rsidR="008639AC" w:rsidRPr="001D3A74" w:rsidRDefault="008639AC" w:rsidP="00C00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критерії</w:t>
            </w:r>
            <w:r w:rsidRPr="001D3A74">
              <w:rPr>
                <w:b/>
                <w:color w:val="000000"/>
              </w:rPr>
              <w:t xml:space="preserve"> відповідно до </w:t>
            </w:r>
          </w:p>
          <w:p w:rsidR="008639AC" w:rsidRPr="001D3A74" w:rsidRDefault="008639AC" w:rsidP="00C00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/>
              </w:rPr>
            </w:pPr>
            <w:r w:rsidRPr="001D3A74">
              <w:rPr>
                <w:b/>
                <w:color w:val="000000"/>
              </w:rPr>
              <w:t>ст. 16 Закону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8639AC" w:rsidRPr="001D3A74" w:rsidRDefault="001F6127" w:rsidP="001F6127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="008639AC">
              <w:rPr>
                <w:b/>
                <w:color w:val="000000"/>
              </w:rPr>
              <w:t>окумент</w:t>
            </w:r>
            <w:r>
              <w:rPr>
                <w:b/>
                <w:color w:val="000000"/>
              </w:rPr>
              <w:t>и для</w:t>
            </w:r>
            <w:r w:rsidR="008639AC">
              <w:rPr>
                <w:b/>
                <w:color w:val="000000"/>
              </w:rPr>
              <w:t xml:space="preserve"> підтвердження відповідно</w:t>
            </w:r>
            <w:r w:rsidR="008639AC" w:rsidRPr="001D3A74">
              <w:rPr>
                <w:b/>
                <w:color w:val="000000"/>
              </w:rPr>
              <w:t>ст</w:t>
            </w:r>
            <w:r w:rsidR="008639AC">
              <w:rPr>
                <w:b/>
                <w:color w:val="000000"/>
              </w:rPr>
              <w:t>і</w:t>
            </w:r>
            <w:r w:rsidR="008639AC" w:rsidRPr="001D3A74">
              <w:rPr>
                <w:b/>
                <w:color w:val="000000"/>
              </w:rPr>
              <w:t xml:space="preserve"> Учасника кваліфікаційн</w:t>
            </w:r>
            <w:r>
              <w:rPr>
                <w:b/>
                <w:color w:val="000000"/>
              </w:rPr>
              <w:t>ому</w:t>
            </w:r>
            <w:r w:rsidR="008639AC" w:rsidRPr="001D3A74">
              <w:rPr>
                <w:b/>
                <w:color w:val="000000"/>
              </w:rPr>
              <w:t xml:space="preserve"> критері</w:t>
            </w:r>
            <w:r>
              <w:rPr>
                <w:b/>
                <w:color w:val="000000"/>
              </w:rPr>
              <w:t>ю</w:t>
            </w:r>
          </w:p>
        </w:tc>
      </w:tr>
      <w:tr w:rsidR="008639AC" w:rsidRPr="001D3A74" w:rsidTr="00C008F6">
        <w:trPr>
          <w:trHeight w:val="5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8639AC" w:rsidRPr="001D3A74" w:rsidRDefault="008639AC" w:rsidP="00C008F6">
            <w:r w:rsidRPr="001D3A74">
              <w:t>Наявність обладнання, матеріально-технічної бази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21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Експлуатаційний дозвіл на потужності Учасника, у якому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підтверджена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можливість провадити господарську діяльність з виробництва та/або зберігання харчових продуктів тваринного походження (якщо предмет закупівлі є продуктом тваринного походження) або рішення (повідомлення) про державну реєстрацію потужності, видане </w:t>
            </w:r>
            <w:proofErr w:type="spellStart"/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Держпродспоживслужбою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(якщо предмет закупівлі є продуктом, який не потребує отримання експлуатаційного дозволу).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21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Акт, складений за результатами проведення заходу державного контролю у формі аудиту постійно діючих процедур, заснованих на принципах 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HACCP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за формою згідно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наказу Міністерства аграрної політики та продовольства України від 08.08.2019 № 446 (далі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за текстом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- Акт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НАССР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).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21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Акт, складений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за формою згідно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наказу Міністерства аграрної політики та продовольства України від 08.08.2019 № 447 (далі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за текстом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- Акт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додержання вимог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).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21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Акт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НАССР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та Акт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додержання вимог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мають бути складені не раніше </w:t>
            </w:r>
            <w:r w:rsidR="00255DD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вересня</w:t>
            </w:r>
            <w:r w:rsidR="00FF3FE4" w:rsidRPr="00FF3F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2021 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р. та підтверджувати додержання учасником вимог законодавства про харчові продукти у тому числі стосовно виробничих та/або складських приміщеннях, а також не менше ніж двох автомобілів (автомобілів-рефрижераторів якщо предмет закупівлі потребує дотримання відповідного температурного режиму), які будуть використовуватись у виробництві та/або зберіганні, а також перевезенні предмету закупівлі.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21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Документи, які підтверджують підстави наявності в Учасника виробничих та/або складських приміщень (договір або свідоцтво про право власності або документ з державного реєстру речових прав на нерухоме майно) які зазначені в Акті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НАССР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Акті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додержання вимог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21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акредитованим 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органом/установою/підприємством сертифікації сертифікат про відповідність системи управління безпечністю харчових продуктів Учасника вимогам ДСТУ ISO 22000:2007 або ДСТУ 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ISO 22000:2019  (ISO 22000:2018, IDT) у тому числі щодо провадження діяльності з торгівлі (постачання), складування, зберігання, відвантаження, транспортування.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21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Виданий акредитованим органом/установою/підприємством сертифікації сертифікат про відповідність системи управління якістю Учасника вимогам ДСТУ ISO 9001:2015 або ДСТУ ISO 9001:2018.</w:t>
            </w:r>
          </w:p>
          <w:p w:rsidR="008639AC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21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Виданий акредитованим органом/установою/підприємством сертифікації сертифікат про відповідність системи екологічного управління Учасника вимогам ДСТУ ISO 14001:2015.</w:t>
            </w:r>
          </w:p>
          <w:p w:rsidR="008639AC" w:rsidRPr="001D3A74" w:rsidRDefault="008639AC" w:rsidP="00C008F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21"/>
              </w:tabs>
              <w:spacing w:line="240" w:lineRule="auto"/>
              <w:ind w:left="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Сертифікати перевіряються Замовником на предмет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їх 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дійсності та правомочності органу, що їх видав.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21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Документи, які підтверджують наявність в Учасника на законних підставах не менше двох вантажних автомобілів (не менше двох автомобілів-рефрижераторів, 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якщо предмет закупівлі потребує дотримання температурного режиму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охолодження/заморозки</w:t>
            </w: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): договір</w:t>
            </w:r>
            <w:r w:rsidR="00DC29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або</w:t>
            </w: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свідоцтва про державну реєстрацію транспортних засобів</w:t>
            </w:r>
            <w:r w:rsidR="00DC29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які відображені в 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НАССР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Акті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додержання вимог</w:t>
            </w: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21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D3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Документ, виданий не раніше </w:t>
            </w:r>
            <w:r w:rsidR="00255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другого півріччя </w:t>
            </w:r>
            <w:r w:rsidRPr="001D3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р. 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акредитованим органом або установою сертифікації </w:t>
            </w:r>
            <w:r w:rsidRPr="001D3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відповідність вимогам 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ISO 9001:2015 (ДСТУ ISO 9001:2018), ДСТУ ISO 22000:2007 (ДСТУ ISO 22000:2019),  ДСТУ ISO 14001:2015</w:t>
            </w:r>
            <w:r w:rsidRPr="001D3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менше двох автомобілів (</w:t>
            </w: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не менше двох автомобілів-рефрижераторів, 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якщо предмет закупівлі потребує дотримання температурного режиму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охолодження/заморозки</w:t>
            </w:r>
            <w:r w:rsidRPr="001D3A74">
              <w:rPr>
                <w:rFonts w:ascii="Times New Roman" w:hAnsi="Times New Roman"/>
                <w:sz w:val="24"/>
                <w:szCs w:val="24"/>
                <w:lang w:val="uk-UA"/>
              </w:rPr>
              <w:t>) Учасника, які будуть використовуватись у перевезенні предмету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які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зазначені</w:t>
            </w: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НАССР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Акті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додержання вимог</w:t>
            </w:r>
            <w:r w:rsidRPr="001D3A7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4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Складені</w:t>
            </w:r>
            <w:r w:rsidRPr="001D3A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мікробіологічною лабораторією результати дослідження, які підтверджують відсутність бактерій групи кишкової палички у змивах, взятих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5E1C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будь-як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их двох</w:t>
            </w:r>
            <w:r w:rsidRPr="005E1C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квартал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ах 2022 р.</w:t>
            </w:r>
            <w:r w:rsidRPr="001D3A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виробничих та/або складських приміщеннях, а також не менше ніж у двох автомобілях</w:t>
            </w:r>
            <w:r w:rsidRPr="001D3A74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не менше двох автомобіл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ях</w:t>
            </w: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-рефрижератор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ах</w:t>
            </w: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якщо предмет закупівлі потребує дотримання температурного режиму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охолодження/заморозки</w:t>
            </w:r>
            <w:r w:rsidRPr="001D3A7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1D3A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які будуть використовуватись у виробництві та/або зберіганні, а також перевезенні предмету закупівлі. Зазначені приміщення та автомобілі, у яких взяті змиви, мають бути вказані у надан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их</w:t>
            </w:r>
            <w:r w:rsidRPr="001D3A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Учасником 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НАССР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Акті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додержання вимог</w:t>
            </w:r>
            <w:r w:rsidRPr="001D3A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D3A7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Виданий </w:t>
            </w:r>
            <w:r w:rsidR="00255DD8" w:rsidRPr="001D3A7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уповноваженим на проведення повірки суб’єктом</w:t>
            </w:r>
            <w:r w:rsidR="00255DD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не раніше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2022р</w:t>
            </w:r>
            <w:r w:rsidRPr="001D3A7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. документ про відповідність засобів вимірювання ваги. 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Договір та акт(-и) про надання Учаснику послуг з чищення/прання робочого одягу працівників, які безпосередньо контактують з харчовими продуктами, або витяг/копії з журналу/книги реєстрації тощо з інформацією </w:t>
            </w: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 проведення чищення/прання протягом місяця до дня подання пропозиції.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Виданий виробником/дилером/постачальником документ, який підтверджує якість тари, у якій поставляється предмет закупівлі (якщо предмет закупівлі є продуктом тваринного походження).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Виданий виробником/дилером/постачальником документ, який підтверджує якість миючих/дезінфікуючих засобів, які застосовуються при обробці виробничих/складських приміщень та автомобілів Учасника.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Договір Учасником з відповідним суб’єктом господарювання на вивезення твердих побутових відходів, які утворюються в процесі господарської діяльності Учасника та план/схема розміщення контейнеру(</w:t>
            </w:r>
            <w:proofErr w:type="spellStart"/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-ів</w:t>
            </w:r>
            <w:proofErr w:type="spellEnd"/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) для зберігання цих відходів.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Договір про надання Учаснику послуг поводження з відходами.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3A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Довідка/лист/інший документ з описом заходів із вилучення з обігу продуктів, які можуть негативно вплинути на здоров’я людини, які здійснюватимуться Учасником у разі виявлення таких продуктів.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3A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Довідка про виконання обов’язків Учасника-оператора ринку харчових продуктів (ч. 2 ст. 20 Закону України «Про основні принципи та вимоги до безпечності та якості харчових продуктів»).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Підтвердження наявності в Єдиному державному реєстрі </w:t>
            </w: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юридичних осіб, фізичних </w:t>
            </w:r>
            <w:r w:rsidRPr="001D3A7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осіб-підприємців та громадських формувань інформації про здійснення Учасником таких видів діяльності: 49.41 Вантажний автомобільний транспорт та 52.10 Складське господарство.</w:t>
            </w:r>
          </w:p>
        </w:tc>
      </w:tr>
      <w:tr w:rsidR="008639AC" w:rsidRPr="001D3A74" w:rsidTr="00C008F6">
        <w:trPr>
          <w:trHeight w:val="5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8639AC" w:rsidRPr="001D3A74" w:rsidRDefault="008639AC" w:rsidP="00C008F6">
            <w:r w:rsidRPr="001D3A74">
              <w:lastRenderedPageBreak/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639AC" w:rsidRPr="001D3A74" w:rsidRDefault="008639AC" w:rsidP="008639AC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Особисті медичні книжки працівників, які безпосередньо працюють з харчовими продуктами - предметом закупівлі. Особисті медичні книжки повинні мати чинні відмітки про можливість працівника виконувати роботу з харчовими продуктами.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0" w:firstLine="3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Сертифікат, виданий акредитованим органом сертифікації про проходження Учасником або уповноваженою ним особою навчання з питань внутрішнього аудиту системи екологічного управління згідно з вимогами ДСТУ ISO 14001:2015.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0" w:firstLine="3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Сертифікат, виданий акредитованим органом сертифікації про проходження Учасником або уповноваженою ним особою навчання з питань внутрішнього аудиту на відповідність вимогам ДСТУ ISO 19011:2019 (ISO 19011:2018, IDT).</w:t>
            </w:r>
          </w:p>
          <w:p w:rsidR="008639AC" w:rsidRPr="001D3A74" w:rsidRDefault="008639AC" w:rsidP="008639AC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0" w:firstLine="3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1D3A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Сертифікат, виданий акредитованим органом сертифікації про проходження Учасником або уповноваженою ним особою навчання з питань внутрішнього аудиту у відповідності з вимогами ДСТУ ISO 22000:2019 (ISO 22000:2018, IDT).</w:t>
            </w:r>
          </w:p>
          <w:p w:rsidR="008639AC" w:rsidRPr="001D3A74" w:rsidRDefault="008639AC" w:rsidP="00C008F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  <w:p w:rsidR="008639AC" w:rsidRPr="005A2B8A" w:rsidRDefault="008639AC" w:rsidP="00C008F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2"/>
              </w:tabs>
              <w:spacing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A2B8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Сертифікати перевіряються Замовником на предмет їх </w:t>
            </w:r>
            <w:r w:rsidRPr="005A2B8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дійсності та правомочності органу, що їх видав.</w:t>
            </w:r>
          </w:p>
        </w:tc>
      </w:tr>
      <w:tr w:rsidR="008639AC" w:rsidRPr="001D3A74" w:rsidTr="00C008F6">
        <w:trPr>
          <w:trHeight w:val="5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8639AC" w:rsidRPr="001D3A74" w:rsidRDefault="008639AC" w:rsidP="00C00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  <w:r w:rsidRPr="001D3A74">
              <w:rPr>
                <w:color w:val="333333"/>
                <w:shd w:val="clear" w:color="auto" w:fill="FFFFFF"/>
              </w:rPr>
              <w:lastRenderedPageBreak/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639AC" w:rsidRPr="001D3A74" w:rsidRDefault="008639AC" w:rsidP="00C008F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A74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(відгук/лист/довідка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тощо</w:t>
            </w:r>
            <w:r w:rsidRPr="001D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від </w:t>
            </w:r>
            <w:r w:rsidR="005A2B8A">
              <w:rPr>
                <w:rFonts w:ascii="Times New Roman" w:hAnsi="Times New Roman"/>
                <w:color w:val="000000"/>
                <w:sz w:val="24"/>
                <w:szCs w:val="24"/>
              </w:rPr>
              <w:t>суб’єкта господарювання, якому</w:t>
            </w:r>
            <w:r w:rsidRPr="001D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Учасник</w:t>
            </w:r>
            <w:r w:rsidR="005A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поставляв</w:t>
            </w:r>
            <w:r w:rsidR="005A2B8A" w:rsidRPr="001D3A74">
              <w:rPr>
                <w:rFonts w:ascii="Times New Roman" w:hAnsi="Times New Roman"/>
                <w:color w:val="000000"/>
                <w:sz w:val="24"/>
                <w:szCs w:val="24"/>
              </w:rPr>
              <w:t>товар аналогічн</w:t>
            </w:r>
            <w:r w:rsidR="005A2B8A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="005A2B8A" w:rsidRPr="001D3A74">
              <w:rPr>
                <w:rFonts w:ascii="Times New Roman" w:hAnsi="Times New Roman"/>
                <w:color w:val="000000"/>
                <w:sz w:val="24"/>
                <w:szCs w:val="24"/>
              </w:rPr>
              <w:t>* предмету закупівлі</w:t>
            </w:r>
            <w:r w:rsidRPr="001D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Такий документ повинен містити номер та дату укладання </w:t>
            </w:r>
            <w:bookmarkStart w:id="0" w:name="_GoBack"/>
            <w:bookmarkEnd w:id="0"/>
            <w:r w:rsidRPr="001D3A74">
              <w:rPr>
                <w:rFonts w:ascii="Times New Roman" w:hAnsi="Times New Roman"/>
                <w:color w:val="000000"/>
                <w:sz w:val="24"/>
                <w:szCs w:val="24"/>
              </w:rPr>
              <w:t>договору, а також інформацію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належне виконання </w:t>
            </w:r>
            <w:r w:rsidRPr="001D3A74">
              <w:rPr>
                <w:rFonts w:ascii="Times New Roman" w:hAnsi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1D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3A74">
              <w:rPr>
                <w:rFonts w:ascii="Times New Roman" w:hAnsi="Times New Roman"/>
                <w:color w:val="000000"/>
                <w:sz w:val="24"/>
                <w:szCs w:val="24"/>
              </w:rPr>
              <w:t>к товару.</w:t>
            </w:r>
          </w:p>
          <w:p w:rsidR="008639AC" w:rsidRPr="001D3A74" w:rsidRDefault="008639AC" w:rsidP="00C008F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9AC" w:rsidRPr="001D3A74" w:rsidRDefault="008639AC" w:rsidP="00C008F6">
            <w:pPr>
              <w:jc w:val="both"/>
              <w:rPr>
                <w:b/>
                <w:i/>
              </w:rPr>
            </w:pPr>
            <w:r w:rsidRPr="001D3A74">
              <w:rPr>
                <w:i/>
                <w:color w:val="000000"/>
              </w:rPr>
              <w:t xml:space="preserve">* </w:t>
            </w:r>
            <w:r w:rsidRPr="001D3A74">
              <w:rPr>
                <w:i/>
                <w:iCs/>
                <w:color w:val="000000"/>
              </w:rPr>
              <w:t>Аналогічним</w:t>
            </w:r>
            <w:r w:rsidR="0089317B">
              <w:rPr>
                <w:i/>
                <w:iCs/>
                <w:color w:val="000000"/>
                <w:lang w:val="ru-RU"/>
              </w:rPr>
              <w:t xml:space="preserve"> </w:t>
            </w:r>
            <w:r w:rsidRPr="001D3A74">
              <w:rPr>
                <w:iCs/>
                <w:color w:val="000000"/>
              </w:rPr>
              <w:t>вважається товар, який відноситься до того ж класу (перші чотири цифри коду Єдиного закупівельного словника ДК 021:2015), що й предмет даної закупівлі.</w:t>
            </w:r>
          </w:p>
        </w:tc>
      </w:tr>
    </w:tbl>
    <w:p w:rsidR="000F2010" w:rsidRDefault="000F2010"/>
    <w:sectPr w:rsidR="000F2010" w:rsidSect="00820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2943"/>
    <w:multiLevelType w:val="hybridMultilevel"/>
    <w:tmpl w:val="E40E7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CF0B23"/>
    <w:multiLevelType w:val="hybridMultilevel"/>
    <w:tmpl w:val="2C1EF5A0"/>
    <w:lvl w:ilvl="0" w:tplc="C0E00C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854"/>
    <w:rsid w:val="000F2010"/>
    <w:rsid w:val="001F6127"/>
    <w:rsid w:val="00255DD8"/>
    <w:rsid w:val="00277C90"/>
    <w:rsid w:val="002E536A"/>
    <w:rsid w:val="004B7B08"/>
    <w:rsid w:val="005A2B8A"/>
    <w:rsid w:val="00742E07"/>
    <w:rsid w:val="00820D7F"/>
    <w:rsid w:val="008639AC"/>
    <w:rsid w:val="0089317B"/>
    <w:rsid w:val="00967740"/>
    <w:rsid w:val="009E2CF2"/>
    <w:rsid w:val="00BD6B7D"/>
    <w:rsid w:val="00CE3854"/>
    <w:rsid w:val="00DC29EC"/>
    <w:rsid w:val="00FF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639AC"/>
    <w:pPr>
      <w:keepNext/>
      <w:suppressAutoHyphens/>
      <w:spacing w:before="240" w:after="60" w:line="0" w:lineRule="atLeast"/>
      <w:jc w:val="both"/>
      <w:outlineLvl w:val="0"/>
    </w:pPr>
    <w:rPr>
      <w:rFonts w:ascii="Arial" w:hAnsi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9AC"/>
    <w:rPr>
      <w:rFonts w:ascii="Arial" w:eastAsia="Times New Roman" w:hAnsi="Arial" w:cs="Times New Roman"/>
      <w:b/>
      <w:bCs/>
      <w:kern w:val="2"/>
      <w:sz w:val="32"/>
      <w:szCs w:val="32"/>
      <w:lang w:eastAsia="zh-CN"/>
    </w:rPr>
  </w:style>
  <w:style w:type="paragraph" w:styleId="a3">
    <w:name w:val="No Spacing"/>
    <w:link w:val="a4"/>
    <w:qFormat/>
    <w:rsid w:val="008639A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qFormat/>
    <w:rsid w:val="008639AC"/>
    <w:rPr>
      <w:rFonts w:ascii="Calibri" w:eastAsia="Calibri" w:hAnsi="Calibri" w:cs="Times New Roman"/>
      <w:lang w:val="uk-UA"/>
    </w:rPr>
  </w:style>
  <w:style w:type="paragraph" w:customStyle="1" w:styleId="11">
    <w:name w:val="Обычный1"/>
    <w:rsid w:val="008639A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Admin-PC</cp:lastModifiedBy>
  <cp:revision>14</cp:revision>
  <dcterms:created xsi:type="dcterms:W3CDTF">2023-01-09T07:45:00Z</dcterms:created>
  <dcterms:modified xsi:type="dcterms:W3CDTF">2023-03-20T14:00:00Z</dcterms:modified>
</cp:coreProperties>
</file>