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60" w:rsidRDefault="00E33060" w:rsidP="00E33060">
      <w:pPr>
        <w:spacing w:after="0" w:line="240" w:lineRule="auto"/>
        <w:ind w:right="-142"/>
        <w:jc w:val="right"/>
        <w:rPr>
          <w:rFonts w:ascii="Times New Roman" w:hAnsi="Times New Roman"/>
          <w:b/>
          <w:bCs/>
          <w:sz w:val="24"/>
          <w:szCs w:val="24"/>
          <w:lang w:val="uk-UA"/>
        </w:rPr>
      </w:pPr>
      <w:r w:rsidRPr="00E927B3">
        <w:rPr>
          <w:rFonts w:ascii="Times New Roman" w:hAnsi="Times New Roman"/>
          <w:b/>
          <w:bCs/>
          <w:sz w:val="24"/>
          <w:szCs w:val="24"/>
          <w:lang w:val="uk-UA"/>
        </w:rPr>
        <w:t xml:space="preserve">Додаток № 3 </w:t>
      </w:r>
    </w:p>
    <w:p w:rsidR="00E33060" w:rsidRPr="00E927B3" w:rsidRDefault="00E33060" w:rsidP="00E33060">
      <w:pPr>
        <w:spacing w:after="0" w:line="240" w:lineRule="auto"/>
        <w:ind w:right="-142"/>
        <w:jc w:val="right"/>
        <w:rPr>
          <w:rFonts w:ascii="Times New Roman" w:hAnsi="Times New Roman"/>
          <w:b/>
          <w:bCs/>
          <w:sz w:val="24"/>
          <w:szCs w:val="24"/>
          <w:lang w:val="uk-UA"/>
        </w:rPr>
      </w:pPr>
      <w:r w:rsidRPr="00E927B3">
        <w:rPr>
          <w:rFonts w:ascii="Times New Roman" w:hAnsi="Times New Roman"/>
          <w:b/>
          <w:bCs/>
          <w:sz w:val="24"/>
          <w:szCs w:val="24"/>
          <w:lang w:val="uk-UA"/>
        </w:rPr>
        <w:t>до тендерної документації</w:t>
      </w:r>
    </w:p>
    <w:p w:rsidR="00E33060" w:rsidRPr="00E927B3" w:rsidRDefault="00E33060" w:rsidP="00E33060">
      <w:pPr>
        <w:ind w:right="-142"/>
        <w:contextualSpacing/>
        <w:jc w:val="center"/>
        <w:rPr>
          <w:rFonts w:ascii="Times New Roman" w:hAnsi="Times New Roman"/>
          <w:b/>
          <w:bCs/>
          <w:i/>
          <w:iCs/>
          <w:sz w:val="20"/>
          <w:szCs w:val="20"/>
          <w:lang w:val="uk-UA"/>
        </w:rPr>
      </w:pPr>
      <w:r w:rsidRPr="00E927B3">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33060" w:rsidRPr="00E927B3" w:rsidRDefault="00E33060" w:rsidP="00E33060">
      <w:pPr>
        <w:ind w:right="-142"/>
        <w:contextualSpacing/>
        <w:jc w:val="center"/>
        <w:rPr>
          <w:rFonts w:ascii="Times New Roman" w:hAnsi="Times New Roman"/>
          <w:b/>
          <w:bCs/>
          <w:i/>
          <w:iCs/>
          <w:sz w:val="20"/>
          <w:szCs w:val="20"/>
          <w:lang w:val="uk-UA"/>
        </w:rPr>
      </w:pPr>
    </w:p>
    <w:p w:rsidR="00500866" w:rsidRPr="00E927B3" w:rsidRDefault="00500866" w:rsidP="00500866">
      <w:pPr>
        <w:jc w:val="center"/>
        <w:rPr>
          <w:rFonts w:ascii="Times New Roman" w:hAnsi="Times New Roman"/>
          <w:b/>
          <w:sz w:val="24"/>
          <w:szCs w:val="24"/>
          <w:lang w:val="uk-UA"/>
        </w:rPr>
      </w:pPr>
      <w:r w:rsidRPr="00E927B3">
        <w:rPr>
          <w:rFonts w:ascii="Times New Roman" w:hAnsi="Times New Roman"/>
          <w:b/>
          <w:color w:val="000000"/>
          <w:kern w:val="36"/>
          <w:sz w:val="24"/>
          <w:szCs w:val="24"/>
          <w:lang w:val="uk-UA" w:eastAsia="uk-UA"/>
        </w:rPr>
        <w:t>«</w:t>
      </w:r>
      <w:r>
        <w:rPr>
          <w:rFonts w:ascii="Times New Roman" w:hAnsi="Times New Roman"/>
          <w:b/>
          <w:color w:val="000000"/>
          <w:kern w:val="36"/>
          <w:sz w:val="24"/>
          <w:szCs w:val="24"/>
          <w:lang w:val="uk-UA" w:eastAsia="uk-UA"/>
        </w:rPr>
        <w:t>Послуги з проведення експертної грошової оцінки земельної ділянки</w:t>
      </w:r>
      <w:r w:rsidRPr="00E927B3">
        <w:rPr>
          <w:rFonts w:ascii="Times New Roman" w:hAnsi="Times New Roman"/>
          <w:b/>
          <w:color w:val="000000"/>
          <w:kern w:val="36"/>
          <w:sz w:val="24"/>
          <w:szCs w:val="24"/>
          <w:lang w:val="uk-UA" w:eastAsia="uk-UA"/>
        </w:rPr>
        <w:t>» </w:t>
      </w:r>
      <w:r w:rsidRPr="00E927B3">
        <w:rPr>
          <w:rFonts w:ascii="Times New Roman" w:hAnsi="Times New Roman"/>
          <w:b/>
          <w:sz w:val="24"/>
          <w:szCs w:val="24"/>
        </w:rPr>
        <w:t>за кодом ДК 021:2015 –</w:t>
      </w:r>
      <w:r>
        <w:rPr>
          <w:rFonts w:ascii="Times New Roman" w:hAnsi="Times New Roman"/>
          <w:b/>
          <w:sz w:val="24"/>
          <w:szCs w:val="24"/>
          <w:lang w:val="uk-UA"/>
        </w:rPr>
        <w:t>79410000-1</w:t>
      </w:r>
      <w:r w:rsidRPr="00E927B3">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Консультаційні послуги з питань підприємницької діяльності і управління</w:t>
      </w:r>
      <w:r w:rsidRPr="00E927B3">
        <w:rPr>
          <w:rFonts w:ascii="Times New Roman" w:hAnsi="Times New Roman"/>
          <w:b/>
          <w:color w:val="000000"/>
          <w:sz w:val="24"/>
          <w:szCs w:val="24"/>
          <w:shd w:val="clear" w:color="auto" w:fill="FDFEFD"/>
          <w:lang w:val="uk-UA"/>
        </w:rPr>
        <w:t>»</w:t>
      </w:r>
    </w:p>
    <w:p w:rsidR="00977EF2" w:rsidRPr="002164E2" w:rsidRDefault="00977EF2" w:rsidP="00977EF2">
      <w:pPr>
        <w:widowControl w:val="0"/>
        <w:spacing w:after="0" w:line="240" w:lineRule="auto"/>
        <w:ind w:firstLine="567"/>
        <w:jc w:val="both"/>
        <w:rPr>
          <w:rFonts w:ascii="Times New Roman" w:hAnsi="Times New Roman"/>
          <w:sz w:val="24"/>
          <w:szCs w:val="24"/>
          <w:lang w:val="uk-UA"/>
        </w:rPr>
      </w:pPr>
      <w:r w:rsidRPr="002164E2">
        <w:rPr>
          <w:rFonts w:ascii="Times New Roman" w:hAnsi="Times New Roman"/>
          <w:b/>
          <w:sz w:val="24"/>
          <w:szCs w:val="24"/>
          <w:lang w:val="uk-UA"/>
        </w:rPr>
        <w:t>Характеристика земельних ділянок</w:t>
      </w:r>
      <w:r w:rsidRPr="002164E2">
        <w:rPr>
          <w:rFonts w:ascii="Times New Roman" w:hAnsi="Times New Roman"/>
          <w:sz w:val="24"/>
          <w:szCs w:val="24"/>
          <w:lang w:val="uk-UA"/>
        </w:rPr>
        <w:t xml:space="preserve">, </w:t>
      </w:r>
      <w:r w:rsidRPr="002164E2">
        <w:rPr>
          <w:rFonts w:ascii="Times New Roman" w:hAnsi="Times New Roman"/>
          <w:b/>
          <w:sz w:val="24"/>
          <w:szCs w:val="24"/>
          <w:lang w:val="uk-UA"/>
        </w:rPr>
        <w:t>що підлягають експертній грошовій оцінці:</w:t>
      </w:r>
    </w:p>
    <w:p w:rsidR="00977EF2" w:rsidRPr="002164E2" w:rsidRDefault="00977EF2" w:rsidP="00977EF2">
      <w:pPr>
        <w:widowControl w:val="0"/>
        <w:snapToGrid w:val="0"/>
        <w:spacing w:after="0"/>
        <w:ind w:firstLine="567"/>
        <w:jc w:val="both"/>
        <w:rPr>
          <w:rFonts w:ascii="Times New Roman" w:hAnsi="Times New Roman"/>
          <w:sz w:val="24"/>
          <w:szCs w:val="24"/>
          <w:lang w:val="uk-UA"/>
        </w:rPr>
      </w:pPr>
      <w:r w:rsidRPr="002164E2">
        <w:rPr>
          <w:rFonts w:ascii="Times New Roman" w:hAnsi="Times New Roman"/>
          <w:sz w:val="24"/>
          <w:szCs w:val="24"/>
          <w:lang w:val="uk-UA"/>
        </w:rPr>
        <w:t xml:space="preserve">Земельна ділянка площею 426 </w:t>
      </w:r>
      <w:proofErr w:type="spellStart"/>
      <w:r w:rsidRPr="002164E2">
        <w:rPr>
          <w:rFonts w:ascii="Times New Roman" w:hAnsi="Times New Roman"/>
          <w:sz w:val="24"/>
          <w:szCs w:val="24"/>
          <w:lang w:val="uk-UA"/>
        </w:rPr>
        <w:t>кв.м</w:t>
      </w:r>
      <w:proofErr w:type="spellEnd"/>
      <w:r w:rsidRPr="002164E2">
        <w:rPr>
          <w:rFonts w:ascii="Times New Roman" w:hAnsi="Times New Roman"/>
          <w:sz w:val="24"/>
          <w:szCs w:val="24"/>
          <w:lang w:val="uk-UA"/>
        </w:rPr>
        <w:t xml:space="preserve">., кадастровий номер 4622700000:01:001:0002, цільове призначення «для будівництва та обслуговування будівель органів державної влади та органів місцевого самоврядування» код за КВЦПЗ: 03.01), за адресою: Львівська область, </w:t>
      </w:r>
      <w:r>
        <w:rPr>
          <w:rFonts w:ascii="Times New Roman" w:hAnsi="Times New Roman"/>
          <w:sz w:val="24"/>
          <w:szCs w:val="24"/>
          <w:lang w:val="uk-UA"/>
        </w:rPr>
        <w:t>Львівський</w:t>
      </w:r>
      <w:r w:rsidRPr="002164E2">
        <w:rPr>
          <w:rFonts w:ascii="Times New Roman" w:hAnsi="Times New Roman"/>
          <w:sz w:val="24"/>
          <w:szCs w:val="24"/>
          <w:lang w:val="uk-UA"/>
        </w:rPr>
        <w:t xml:space="preserve"> район, на території </w:t>
      </w:r>
      <w:proofErr w:type="spellStart"/>
      <w:r w:rsidRPr="002164E2">
        <w:rPr>
          <w:rFonts w:ascii="Times New Roman" w:hAnsi="Times New Roman"/>
          <w:sz w:val="24"/>
          <w:szCs w:val="24"/>
          <w:lang w:val="uk-UA"/>
        </w:rPr>
        <w:t>Річківської</w:t>
      </w:r>
      <w:proofErr w:type="spellEnd"/>
      <w:r w:rsidRPr="002164E2">
        <w:rPr>
          <w:rFonts w:ascii="Times New Roman" w:hAnsi="Times New Roman"/>
          <w:sz w:val="24"/>
          <w:szCs w:val="24"/>
          <w:lang w:val="uk-UA"/>
        </w:rPr>
        <w:t xml:space="preserve"> сільської ради.</w:t>
      </w:r>
    </w:p>
    <w:p w:rsidR="00977EF2" w:rsidRPr="002164E2" w:rsidRDefault="00977EF2" w:rsidP="00977EF2">
      <w:pPr>
        <w:pStyle w:val="a8"/>
        <w:spacing w:after="0"/>
        <w:ind w:firstLine="567"/>
        <w:jc w:val="both"/>
        <w:rPr>
          <w:rFonts w:ascii="Times New Roman" w:hAnsi="Times New Roman"/>
          <w:sz w:val="24"/>
          <w:szCs w:val="24"/>
          <w:highlight w:val="yellow"/>
          <w:lang w:val="uk-UA"/>
        </w:rPr>
      </w:pPr>
    </w:p>
    <w:p w:rsidR="00977EF2" w:rsidRPr="002164E2" w:rsidRDefault="00977EF2" w:rsidP="00977EF2">
      <w:pPr>
        <w:spacing w:after="0" w:line="240" w:lineRule="auto"/>
        <w:ind w:firstLine="567"/>
        <w:jc w:val="both"/>
        <w:rPr>
          <w:rFonts w:ascii="Times New Roman" w:hAnsi="Times New Roman"/>
          <w:b/>
          <w:sz w:val="24"/>
          <w:szCs w:val="24"/>
          <w:lang w:val="uk-UA"/>
        </w:rPr>
      </w:pPr>
      <w:r w:rsidRPr="002164E2">
        <w:rPr>
          <w:rFonts w:ascii="Times New Roman" w:hAnsi="Times New Roman"/>
          <w:b/>
          <w:sz w:val="24"/>
          <w:szCs w:val="24"/>
          <w:lang w:val="uk-UA"/>
        </w:rPr>
        <w:t>Кількість земельних ділянок, що підлягають експертній грошовій оцінці:</w:t>
      </w:r>
    </w:p>
    <w:p w:rsidR="00977EF2" w:rsidRPr="002164E2" w:rsidRDefault="00977EF2" w:rsidP="00977EF2">
      <w:pPr>
        <w:widowControl w:val="0"/>
        <w:spacing w:after="0" w:line="240" w:lineRule="auto"/>
        <w:ind w:firstLine="567"/>
        <w:jc w:val="both"/>
        <w:rPr>
          <w:rFonts w:ascii="Times New Roman" w:hAnsi="Times New Roman"/>
          <w:sz w:val="24"/>
          <w:szCs w:val="24"/>
          <w:lang w:val="uk-UA"/>
        </w:rPr>
      </w:pPr>
      <w:r w:rsidRPr="002164E2">
        <w:rPr>
          <w:rFonts w:ascii="Times New Roman" w:hAnsi="Times New Roman"/>
          <w:sz w:val="24"/>
          <w:szCs w:val="24"/>
          <w:lang w:val="uk-UA"/>
        </w:rPr>
        <w:t>1 (одна) земельна ділянка.</w:t>
      </w:r>
      <w:bookmarkStart w:id="0" w:name="_GoBack"/>
      <w:bookmarkEnd w:id="0"/>
    </w:p>
    <w:p w:rsidR="00977EF2" w:rsidRPr="002164E2" w:rsidRDefault="00977EF2" w:rsidP="00977EF2">
      <w:pPr>
        <w:widowControl w:val="0"/>
        <w:spacing w:after="0" w:line="240" w:lineRule="auto"/>
        <w:ind w:firstLine="567"/>
        <w:jc w:val="both"/>
        <w:rPr>
          <w:rFonts w:ascii="Times New Roman" w:hAnsi="Times New Roman"/>
          <w:sz w:val="24"/>
          <w:szCs w:val="24"/>
          <w:highlight w:val="yellow"/>
          <w:lang w:val="uk-UA"/>
        </w:rPr>
      </w:pPr>
    </w:p>
    <w:p w:rsidR="00977EF2" w:rsidRPr="002164E2" w:rsidRDefault="00977EF2" w:rsidP="00977EF2">
      <w:pPr>
        <w:widowControl w:val="0"/>
        <w:spacing w:after="0" w:line="240" w:lineRule="auto"/>
        <w:ind w:firstLine="567"/>
        <w:jc w:val="both"/>
        <w:rPr>
          <w:rFonts w:ascii="Times New Roman" w:hAnsi="Times New Roman"/>
          <w:b/>
          <w:sz w:val="24"/>
          <w:szCs w:val="24"/>
        </w:rPr>
      </w:pPr>
      <w:r w:rsidRPr="002164E2">
        <w:rPr>
          <w:rFonts w:ascii="Times New Roman" w:hAnsi="Times New Roman"/>
          <w:b/>
          <w:sz w:val="24"/>
          <w:szCs w:val="24"/>
          <w:lang w:val="uk-UA"/>
        </w:rPr>
        <w:t>Орієнтовні строки надання послуг</w:t>
      </w:r>
      <w:r w:rsidRPr="002164E2">
        <w:rPr>
          <w:rFonts w:ascii="Times New Roman" w:hAnsi="Times New Roman"/>
          <w:b/>
          <w:sz w:val="24"/>
          <w:szCs w:val="24"/>
        </w:rPr>
        <w:t>:</w:t>
      </w:r>
    </w:p>
    <w:p w:rsidR="00977EF2" w:rsidRPr="002164E2" w:rsidRDefault="00977EF2" w:rsidP="00977EF2">
      <w:pPr>
        <w:pStyle w:val="a8"/>
        <w:spacing w:after="0"/>
        <w:ind w:firstLine="567"/>
        <w:jc w:val="both"/>
        <w:rPr>
          <w:rStyle w:val="a7"/>
          <w:rFonts w:ascii="Times New Roman" w:hAnsi="Times New Roman"/>
          <w:b w:val="0"/>
          <w:i w:val="0"/>
          <w:sz w:val="24"/>
          <w:szCs w:val="24"/>
          <w:lang w:val="uk-UA"/>
        </w:rPr>
      </w:pPr>
      <w:r w:rsidRPr="002164E2">
        <w:rPr>
          <w:rStyle w:val="a7"/>
          <w:rFonts w:ascii="Times New Roman" w:hAnsi="Times New Roman"/>
          <w:b w:val="0"/>
          <w:i w:val="0"/>
          <w:sz w:val="24"/>
          <w:szCs w:val="24"/>
          <w:lang w:val="uk-UA"/>
        </w:rPr>
        <w:t>Д</w:t>
      </w:r>
      <w:r w:rsidRPr="002164E2">
        <w:rPr>
          <w:rStyle w:val="a7"/>
          <w:rFonts w:ascii="Times New Roman" w:hAnsi="Times New Roman"/>
          <w:b w:val="0"/>
          <w:i w:val="0"/>
          <w:sz w:val="24"/>
          <w:szCs w:val="24"/>
        </w:rPr>
        <w:t xml:space="preserve">о </w:t>
      </w:r>
      <w:r w:rsidRPr="002164E2">
        <w:rPr>
          <w:rStyle w:val="a7"/>
          <w:rFonts w:ascii="Times New Roman" w:hAnsi="Times New Roman"/>
          <w:b w:val="0"/>
          <w:i w:val="0"/>
          <w:sz w:val="24"/>
          <w:szCs w:val="24"/>
          <w:lang w:val="uk-UA"/>
        </w:rPr>
        <w:t>01.06.2024 р.</w:t>
      </w:r>
    </w:p>
    <w:p w:rsidR="00977EF2" w:rsidRPr="002164E2" w:rsidRDefault="00977EF2" w:rsidP="00977EF2">
      <w:pPr>
        <w:widowControl w:val="0"/>
        <w:spacing w:after="0" w:line="240" w:lineRule="auto"/>
        <w:ind w:firstLine="567"/>
        <w:jc w:val="both"/>
        <w:rPr>
          <w:rFonts w:ascii="Times New Roman" w:hAnsi="Times New Roman"/>
          <w:b/>
          <w:sz w:val="24"/>
          <w:szCs w:val="24"/>
          <w:lang w:val="uk-UA"/>
        </w:rPr>
      </w:pPr>
    </w:p>
    <w:p w:rsidR="00977EF2" w:rsidRPr="002164E2" w:rsidRDefault="00977EF2" w:rsidP="00977EF2">
      <w:pPr>
        <w:widowControl w:val="0"/>
        <w:spacing w:after="0" w:line="240" w:lineRule="auto"/>
        <w:ind w:firstLine="567"/>
        <w:jc w:val="both"/>
        <w:rPr>
          <w:rFonts w:ascii="Times New Roman" w:hAnsi="Times New Roman"/>
          <w:b/>
          <w:sz w:val="24"/>
          <w:szCs w:val="24"/>
          <w:lang w:val="uk-UA"/>
        </w:rPr>
      </w:pPr>
      <w:r w:rsidRPr="002164E2">
        <w:rPr>
          <w:rFonts w:ascii="Times New Roman" w:hAnsi="Times New Roman"/>
          <w:b/>
          <w:sz w:val="24"/>
          <w:szCs w:val="24"/>
          <w:lang w:val="uk-UA"/>
        </w:rPr>
        <w:t>Послуги надаються суб’єктами оціночної діяльності у сфері оцінки земель, які відповідають вимогам чинного законодавства України та кваліфікаційним к</w:t>
      </w:r>
      <w:r>
        <w:rPr>
          <w:rFonts w:ascii="Times New Roman" w:hAnsi="Times New Roman"/>
          <w:b/>
          <w:sz w:val="24"/>
          <w:szCs w:val="24"/>
          <w:lang w:val="uk-UA"/>
        </w:rPr>
        <w:t>ритеріям.</w:t>
      </w:r>
    </w:p>
    <w:p w:rsidR="00977EF2" w:rsidRPr="002164E2" w:rsidRDefault="00977EF2" w:rsidP="00977EF2">
      <w:pPr>
        <w:widowControl w:val="0"/>
        <w:spacing w:after="0" w:line="240" w:lineRule="auto"/>
        <w:ind w:firstLine="567"/>
        <w:jc w:val="both"/>
        <w:rPr>
          <w:sz w:val="24"/>
          <w:szCs w:val="24"/>
          <w:lang w:val="uk-UA"/>
        </w:rPr>
      </w:pPr>
      <w:r w:rsidRPr="002164E2">
        <w:rPr>
          <w:rFonts w:ascii="Times New Roman" w:hAnsi="Times New Roman"/>
          <w:kern w:val="2"/>
          <w:sz w:val="24"/>
          <w:szCs w:val="24"/>
          <w:lang w:val="uk-UA"/>
        </w:rPr>
        <w:t>Оцінювачі та суб’єкти оціночної діяльності несуть відповідальність за недостовірну чи необ’єктивну оцінку майна Замовника згідно із законодавством.</w:t>
      </w:r>
    </w:p>
    <w:p w:rsidR="00977EF2" w:rsidRPr="002164E2" w:rsidRDefault="00977EF2" w:rsidP="00977EF2">
      <w:pPr>
        <w:widowControl w:val="0"/>
        <w:spacing w:after="0" w:line="240" w:lineRule="auto"/>
        <w:ind w:firstLine="567"/>
        <w:jc w:val="both"/>
        <w:rPr>
          <w:rFonts w:ascii="Times New Roman" w:hAnsi="Times New Roman"/>
          <w:kern w:val="2"/>
          <w:sz w:val="24"/>
          <w:szCs w:val="24"/>
          <w:lang w:val="uk-UA"/>
        </w:rPr>
      </w:pPr>
    </w:p>
    <w:p w:rsidR="00977EF2" w:rsidRPr="002164E2" w:rsidRDefault="00977EF2" w:rsidP="00977EF2">
      <w:pPr>
        <w:widowControl w:val="0"/>
        <w:spacing w:after="0" w:line="240" w:lineRule="auto"/>
        <w:ind w:firstLine="567"/>
        <w:jc w:val="both"/>
        <w:rPr>
          <w:rFonts w:ascii="Times New Roman" w:hAnsi="Times New Roman"/>
          <w:b/>
          <w:kern w:val="2"/>
          <w:sz w:val="24"/>
          <w:szCs w:val="24"/>
          <w:lang w:val="uk-UA"/>
        </w:rPr>
      </w:pPr>
      <w:r w:rsidRPr="002164E2">
        <w:rPr>
          <w:rFonts w:ascii="Times New Roman" w:hAnsi="Times New Roman"/>
          <w:b/>
          <w:kern w:val="2"/>
          <w:sz w:val="24"/>
          <w:szCs w:val="24"/>
          <w:lang w:val="uk-UA"/>
        </w:rPr>
        <w:t>Нормативно-правові акти, яким повинні відповідати надані послуги:</w:t>
      </w:r>
    </w:p>
    <w:p w:rsidR="00977EF2" w:rsidRPr="00977EF2" w:rsidRDefault="00977EF2" w:rsidP="00977EF2">
      <w:pPr>
        <w:pStyle w:val="a3"/>
        <w:widowControl w:val="0"/>
        <w:numPr>
          <w:ilvl w:val="0"/>
          <w:numId w:val="6"/>
        </w:numPr>
        <w:spacing w:after="0" w:line="240" w:lineRule="auto"/>
        <w:ind w:left="709" w:hanging="142"/>
        <w:jc w:val="both"/>
        <w:rPr>
          <w:rFonts w:ascii="Times New Roman" w:hAnsi="Times New Roman"/>
          <w:kern w:val="2"/>
          <w:sz w:val="24"/>
          <w:szCs w:val="24"/>
          <w:lang w:val="uk-UA"/>
        </w:rPr>
      </w:pPr>
      <w:r w:rsidRPr="00977EF2">
        <w:rPr>
          <w:rFonts w:ascii="Times New Roman" w:hAnsi="Times New Roman"/>
          <w:kern w:val="2"/>
          <w:sz w:val="24"/>
          <w:szCs w:val="24"/>
          <w:lang w:val="uk-UA"/>
        </w:rPr>
        <w:t xml:space="preserve">Земельний кодекс України; </w:t>
      </w:r>
    </w:p>
    <w:p w:rsidR="00977EF2" w:rsidRPr="00977EF2" w:rsidRDefault="00977EF2" w:rsidP="00977EF2">
      <w:pPr>
        <w:pStyle w:val="a3"/>
        <w:widowControl w:val="0"/>
        <w:numPr>
          <w:ilvl w:val="0"/>
          <w:numId w:val="4"/>
        </w:numPr>
        <w:spacing w:after="0" w:line="240" w:lineRule="auto"/>
        <w:ind w:left="0" w:firstLine="567"/>
        <w:jc w:val="both"/>
        <w:rPr>
          <w:rFonts w:ascii="Times New Roman" w:hAnsi="Times New Roman"/>
          <w:kern w:val="2"/>
          <w:sz w:val="24"/>
          <w:szCs w:val="24"/>
          <w:lang w:val="uk-UA"/>
        </w:rPr>
      </w:pPr>
      <w:r w:rsidRPr="00977EF2">
        <w:rPr>
          <w:rFonts w:ascii="Times New Roman" w:hAnsi="Times New Roman"/>
          <w:kern w:val="2"/>
          <w:sz w:val="24"/>
          <w:szCs w:val="24"/>
          <w:lang w:val="uk-UA"/>
        </w:rPr>
        <w:t>Закон України «Про оцінку майна, майнових прав та професійну оціночну діяльність в Україні»;</w:t>
      </w:r>
    </w:p>
    <w:p w:rsidR="00977EF2" w:rsidRPr="00977EF2" w:rsidRDefault="00977EF2" w:rsidP="00977EF2">
      <w:pPr>
        <w:pStyle w:val="a3"/>
        <w:widowControl w:val="0"/>
        <w:numPr>
          <w:ilvl w:val="0"/>
          <w:numId w:val="4"/>
        </w:numPr>
        <w:spacing w:after="0" w:line="240" w:lineRule="auto"/>
        <w:ind w:left="0" w:firstLine="567"/>
        <w:jc w:val="both"/>
        <w:rPr>
          <w:rFonts w:ascii="Times New Roman" w:hAnsi="Times New Roman"/>
          <w:kern w:val="2"/>
          <w:sz w:val="24"/>
          <w:szCs w:val="24"/>
          <w:lang w:val="uk-UA"/>
        </w:rPr>
      </w:pPr>
      <w:r w:rsidRPr="00977EF2">
        <w:rPr>
          <w:rFonts w:ascii="Times New Roman" w:hAnsi="Times New Roman"/>
          <w:kern w:val="2"/>
          <w:sz w:val="24"/>
          <w:szCs w:val="24"/>
          <w:lang w:val="uk-UA"/>
        </w:rPr>
        <w:t xml:space="preserve">Закон України «Про оцінку земель»; </w:t>
      </w:r>
    </w:p>
    <w:p w:rsidR="00977EF2" w:rsidRPr="00977EF2" w:rsidRDefault="00977EF2" w:rsidP="00977EF2">
      <w:pPr>
        <w:pStyle w:val="a3"/>
        <w:widowControl w:val="0"/>
        <w:numPr>
          <w:ilvl w:val="0"/>
          <w:numId w:val="4"/>
        </w:numPr>
        <w:spacing w:after="0" w:line="240" w:lineRule="auto"/>
        <w:ind w:left="0" w:firstLine="567"/>
        <w:jc w:val="both"/>
        <w:rPr>
          <w:rFonts w:ascii="Times New Roman" w:hAnsi="Times New Roman"/>
          <w:kern w:val="2"/>
          <w:sz w:val="24"/>
          <w:szCs w:val="24"/>
          <w:lang w:val="uk-UA"/>
        </w:rPr>
      </w:pPr>
      <w:r w:rsidRPr="00977EF2">
        <w:rPr>
          <w:rFonts w:ascii="Times New Roman" w:hAnsi="Times New Roman"/>
          <w:kern w:val="2"/>
          <w:sz w:val="24"/>
          <w:szCs w:val="24"/>
          <w:lang w:val="uk-UA"/>
        </w:rPr>
        <w:t xml:space="preserve">Методика експертної грошової оцінки земельних ділянок, затверджена постановою Кабінету Міністрів України від 11.10.2002 № 1531, (зі змінами та доповненнями); </w:t>
      </w:r>
    </w:p>
    <w:p w:rsidR="00977EF2" w:rsidRPr="00977EF2" w:rsidRDefault="00977EF2" w:rsidP="00977EF2">
      <w:pPr>
        <w:pStyle w:val="a3"/>
        <w:widowControl w:val="0"/>
        <w:numPr>
          <w:ilvl w:val="0"/>
          <w:numId w:val="4"/>
        </w:numPr>
        <w:spacing w:after="0" w:line="240" w:lineRule="auto"/>
        <w:ind w:left="0" w:firstLine="567"/>
        <w:jc w:val="both"/>
        <w:rPr>
          <w:rFonts w:ascii="Times New Roman" w:hAnsi="Times New Roman"/>
          <w:kern w:val="2"/>
          <w:sz w:val="24"/>
          <w:szCs w:val="24"/>
          <w:lang w:val="uk-UA"/>
        </w:rPr>
      </w:pPr>
      <w:r w:rsidRPr="00977EF2">
        <w:rPr>
          <w:rFonts w:ascii="Times New Roman" w:hAnsi="Times New Roman"/>
          <w:kern w:val="2"/>
          <w:sz w:val="24"/>
          <w:szCs w:val="24"/>
          <w:lang w:val="uk-UA"/>
        </w:rPr>
        <w:t xml:space="preserve"> Порядок проведення експертної грошової оцінки земельних ділянок, затверджений наказом </w:t>
      </w:r>
      <w:r w:rsidRPr="00977EF2">
        <w:rPr>
          <w:rFonts w:ascii="Times New Roman" w:hAnsi="Times New Roman"/>
          <w:spacing w:val="6"/>
          <w:sz w:val="24"/>
          <w:szCs w:val="24"/>
          <w:lang w:val="uk-UA"/>
        </w:rPr>
        <w:t>Державного комітету України по земельних ресурсах</w:t>
      </w:r>
      <w:r w:rsidRPr="00977EF2">
        <w:rPr>
          <w:rFonts w:ascii="Times New Roman" w:hAnsi="Times New Roman"/>
          <w:kern w:val="2"/>
          <w:sz w:val="24"/>
          <w:szCs w:val="24"/>
          <w:lang w:val="uk-UA"/>
        </w:rPr>
        <w:t xml:space="preserve"> від 09.01.2003 № 2 (зі змінами та доповненнями);</w:t>
      </w:r>
    </w:p>
    <w:p w:rsidR="00977EF2" w:rsidRPr="00977EF2" w:rsidRDefault="00977EF2" w:rsidP="00977EF2">
      <w:pPr>
        <w:pStyle w:val="a3"/>
        <w:widowControl w:val="0"/>
        <w:numPr>
          <w:ilvl w:val="0"/>
          <w:numId w:val="4"/>
        </w:numPr>
        <w:spacing w:after="0" w:line="240" w:lineRule="auto"/>
        <w:ind w:left="0" w:firstLine="567"/>
        <w:jc w:val="both"/>
        <w:rPr>
          <w:rFonts w:ascii="Times New Roman" w:hAnsi="Times New Roman"/>
          <w:kern w:val="2"/>
          <w:sz w:val="24"/>
          <w:szCs w:val="24"/>
          <w:lang w:val="uk-UA"/>
        </w:rPr>
      </w:pPr>
      <w:r w:rsidRPr="00977EF2">
        <w:rPr>
          <w:rFonts w:ascii="Times New Roman" w:hAnsi="Times New Roman"/>
          <w:kern w:val="2"/>
          <w:sz w:val="24"/>
          <w:szCs w:val="24"/>
          <w:lang w:val="uk-UA"/>
        </w:rPr>
        <w:t xml:space="preserve"> Національний стандарт №1 «Загальні засади оцінки майна і майнових прав», затверджений постановою Кабінету Міністрів України від 10.09.2003 № 1440 (зі змінами та доповненнями); </w:t>
      </w:r>
    </w:p>
    <w:p w:rsidR="00977EF2" w:rsidRPr="00977EF2" w:rsidRDefault="00977EF2" w:rsidP="00977EF2">
      <w:pPr>
        <w:pStyle w:val="a3"/>
        <w:widowControl w:val="0"/>
        <w:numPr>
          <w:ilvl w:val="0"/>
          <w:numId w:val="4"/>
        </w:numPr>
        <w:spacing w:after="0" w:line="240" w:lineRule="auto"/>
        <w:ind w:left="0" w:firstLine="567"/>
        <w:jc w:val="both"/>
        <w:rPr>
          <w:rFonts w:ascii="Times New Roman" w:hAnsi="Times New Roman"/>
          <w:kern w:val="2"/>
          <w:sz w:val="24"/>
          <w:szCs w:val="24"/>
          <w:lang w:val="uk-UA"/>
        </w:rPr>
      </w:pPr>
      <w:r w:rsidRPr="00977EF2">
        <w:rPr>
          <w:rFonts w:ascii="Times New Roman" w:hAnsi="Times New Roman"/>
          <w:kern w:val="2"/>
          <w:sz w:val="24"/>
          <w:szCs w:val="24"/>
          <w:lang w:val="uk-UA"/>
        </w:rPr>
        <w:t xml:space="preserve"> Національний стандарт №2, затверджений постановою Кабінету Міністрів України від 28.10.2004 № 1442 </w:t>
      </w:r>
      <w:r w:rsidRPr="00977EF2">
        <w:rPr>
          <w:rFonts w:ascii="Times New Roman" w:hAnsi="Times New Roman"/>
          <w:spacing w:val="6"/>
          <w:sz w:val="24"/>
          <w:szCs w:val="24"/>
          <w:lang w:val="uk-UA"/>
        </w:rPr>
        <w:t>(зі змінами та доповненнями)</w:t>
      </w:r>
      <w:r w:rsidRPr="00977EF2">
        <w:rPr>
          <w:rFonts w:ascii="Times New Roman" w:hAnsi="Times New Roman"/>
          <w:kern w:val="2"/>
          <w:sz w:val="24"/>
          <w:szCs w:val="24"/>
          <w:lang w:val="uk-UA"/>
        </w:rPr>
        <w:t>.</w:t>
      </w:r>
    </w:p>
    <w:p w:rsidR="00977EF2" w:rsidRPr="002164E2" w:rsidRDefault="00977EF2" w:rsidP="00977EF2">
      <w:pPr>
        <w:widowControl w:val="0"/>
        <w:spacing w:after="0" w:line="240" w:lineRule="auto"/>
        <w:ind w:firstLine="567"/>
        <w:jc w:val="both"/>
        <w:rPr>
          <w:rFonts w:ascii="Times New Roman" w:hAnsi="Times New Roman"/>
          <w:sz w:val="24"/>
          <w:szCs w:val="24"/>
        </w:rPr>
      </w:pPr>
    </w:p>
    <w:p w:rsidR="00977EF2" w:rsidRPr="002164E2" w:rsidRDefault="00977EF2" w:rsidP="00977EF2">
      <w:pPr>
        <w:pStyle w:val="2"/>
        <w:rPr>
          <w:rFonts w:ascii="Times New Roman" w:hAnsi="Times New Roman"/>
          <w:sz w:val="24"/>
        </w:rPr>
      </w:pPr>
      <w:r w:rsidRPr="002164E2">
        <w:rPr>
          <w:rFonts w:ascii="Times New Roman" w:hAnsi="Times New Roman"/>
          <w:b/>
          <w:bCs/>
          <w:sz w:val="24"/>
          <w:lang w:val="uk-UA"/>
        </w:rPr>
        <w:t xml:space="preserve">1. </w:t>
      </w:r>
      <w:r w:rsidRPr="002164E2">
        <w:rPr>
          <w:rFonts w:ascii="Times New Roman" w:hAnsi="Times New Roman"/>
          <w:b/>
          <w:sz w:val="24"/>
          <w:lang w:val="uk-UA"/>
        </w:rPr>
        <w:t>Основні обов’язкові етапи надання послуг, що є предметом закупівлі:</w:t>
      </w:r>
    </w:p>
    <w:p w:rsidR="00977EF2" w:rsidRPr="002164E2" w:rsidRDefault="00977EF2" w:rsidP="00977EF2">
      <w:pPr>
        <w:spacing w:after="0" w:line="240" w:lineRule="auto"/>
        <w:ind w:firstLine="567"/>
        <w:jc w:val="both"/>
        <w:rPr>
          <w:rFonts w:ascii="Times New Roman" w:hAnsi="Times New Roman"/>
          <w:sz w:val="24"/>
          <w:szCs w:val="24"/>
        </w:rPr>
      </w:pPr>
      <w:r>
        <w:rPr>
          <w:rFonts w:ascii="Times New Roman" w:hAnsi="Times New Roman"/>
          <w:sz w:val="24"/>
          <w:szCs w:val="24"/>
          <w:lang w:val="uk-UA"/>
        </w:rPr>
        <w:t>1.1.</w:t>
      </w:r>
      <w:r w:rsidRPr="002164E2">
        <w:rPr>
          <w:rFonts w:ascii="Times New Roman" w:hAnsi="Times New Roman"/>
          <w:sz w:val="24"/>
          <w:szCs w:val="24"/>
          <w:lang w:val="uk-UA"/>
        </w:rPr>
        <w:t>Обстеження земельної ділянки та вивчення ситуації на ринку землі.</w:t>
      </w:r>
    </w:p>
    <w:p w:rsidR="00977EF2" w:rsidRPr="002164E2" w:rsidRDefault="00977EF2" w:rsidP="00977EF2">
      <w:pPr>
        <w:spacing w:after="0" w:line="240" w:lineRule="auto"/>
        <w:ind w:firstLine="567"/>
        <w:jc w:val="both"/>
        <w:rPr>
          <w:rFonts w:ascii="Times New Roman" w:hAnsi="Times New Roman"/>
          <w:sz w:val="24"/>
          <w:szCs w:val="24"/>
        </w:rPr>
      </w:pPr>
      <w:r>
        <w:rPr>
          <w:rFonts w:ascii="Times New Roman" w:hAnsi="Times New Roman"/>
          <w:sz w:val="24"/>
          <w:szCs w:val="24"/>
          <w:lang w:val="uk-UA"/>
        </w:rPr>
        <w:t>1.2.</w:t>
      </w:r>
      <w:r w:rsidRPr="002164E2">
        <w:rPr>
          <w:rFonts w:ascii="Times New Roman" w:hAnsi="Times New Roman"/>
          <w:sz w:val="24"/>
          <w:szCs w:val="24"/>
          <w:lang w:val="uk-UA"/>
        </w:rPr>
        <w:t>Визначення ринкової (експертної) вартості земельної ділянки відповідно до умов договору.</w:t>
      </w:r>
    </w:p>
    <w:p w:rsidR="00977EF2" w:rsidRPr="002164E2" w:rsidRDefault="00977EF2" w:rsidP="00977EF2">
      <w:pPr>
        <w:spacing w:after="0" w:line="240" w:lineRule="auto"/>
        <w:ind w:firstLine="567"/>
        <w:jc w:val="both"/>
        <w:rPr>
          <w:rFonts w:ascii="Times New Roman" w:hAnsi="Times New Roman"/>
          <w:sz w:val="24"/>
          <w:szCs w:val="24"/>
        </w:rPr>
      </w:pPr>
      <w:r>
        <w:rPr>
          <w:rFonts w:ascii="Times New Roman" w:hAnsi="Times New Roman"/>
          <w:sz w:val="24"/>
          <w:szCs w:val="24"/>
          <w:lang w:val="uk-UA"/>
        </w:rPr>
        <w:t>1.3.</w:t>
      </w:r>
      <w:r w:rsidRPr="002164E2">
        <w:rPr>
          <w:rFonts w:ascii="Times New Roman" w:hAnsi="Times New Roman"/>
          <w:sz w:val="24"/>
          <w:szCs w:val="24"/>
          <w:lang w:val="uk-UA"/>
        </w:rPr>
        <w:t>Збирання, оброблення та аналіз вихідних даних, необхідних для проведення оцінки.</w:t>
      </w:r>
    </w:p>
    <w:p w:rsidR="00977EF2" w:rsidRPr="002164E2" w:rsidRDefault="00977EF2" w:rsidP="00977EF2">
      <w:pPr>
        <w:spacing w:after="0" w:line="240" w:lineRule="auto"/>
        <w:ind w:firstLine="567"/>
        <w:jc w:val="both"/>
        <w:rPr>
          <w:rFonts w:ascii="Times New Roman" w:hAnsi="Times New Roman"/>
          <w:sz w:val="24"/>
          <w:szCs w:val="24"/>
        </w:rPr>
      </w:pPr>
      <w:r>
        <w:rPr>
          <w:rFonts w:ascii="Times New Roman" w:hAnsi="Times New Roman"/>
          <w:sz w:val="24"/>
          <w:szCs w:val="24"/>
          <w:lang w:val="uk-UA"/>
        </w:rPr>
        <w:t>1.4.</w:t>
      </w:r>
      <w:r w:rsidRPr="002164E2">
        <w:rPr>
          <w:rFonts w:ascii="Times New Roman" w:hAnsi="Times New Roman"/>
          <w:sz w:val="24"/>
          <w:szCs w:val="24"/>
          <w:lang w:val="uk-UA"/>
        </w:rPr>
        <w:t>Визначення найбільш ефективного використання земельної ділянки.</w:t>
      </w:r>
    </w:p>
    <w:p w:rsidR="00977EF2" w:rsidRPr="002164E2" w:rsidRDefault="00977EF2" w:rsidP="00977EF2">
      <w:pPr>
        <w:spacing w:after="0" w:line="240" w:lineRule="auto"/>
        <w:ind w:firstLine="567"/>
        <w:jc w:val="both"/>
        <w:rPr>
          <w:rFonts w:ascii="Times New Roman" w:hAnsi="Times New Roman"/>
          <w:sz w:val="24"/>
          <w:szCs w:val="24"/>
        </w:rPr>
      </w:pPr>
      <w:r>
        <w:rPr>
          <w:rFonts w:ascii="Times New Roman" w:hAnsi="Times New Roman"/>
          <w:sz w:val="24"/>
          <w:szCs w:val="24"/>
          <w:lang w:val="uk-UA"/>
        </w:rPr>
        <w:t>1.5.</w:t>
      </w:r>
      <w:r w:rsidRPr="002164E2">
        <w:rPr>
          <w:rFonts w:ascii="Times New Roman" w:hAnsi="Times New Roman"/>
          <w:sz w:val="24"/>
          <w:szCs w:val="24"/>
          <w:lang w:val="uk-UA"/>
        </w:rPr>
        <w:t>Вибір та обґрунтування методичних підходів.</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1134"/>
        </w:tabs>
        <w:spacing w:after="0" w:line="240" w:lineRule="auto"/>
        <w:ind w:firstLine="567"/>
        <w:jc w:val="both"/>
        <w:rPr>
          <w:rFonts w:ascii="Times New Roman" w:hAnsi="Times New Roman"/>
          <w:sz w:val="24"/>
          <w:szCs w:val="24"/>
        </w:rPr>
      </w:pPr>
      <w:r>
        <w:rPr>
          <w:rFonts w:ascii="Times New Roman" w:hAnsi="Times New Roman"/>
          <w:bCs/>
          <w:sz w:val="24"/>
          <w:szCs w:val="24"/>
          <w:lang w:val="uk-UA"/>
        </w:rPr>
        <w:t>1.6.</w:t>
      </w:r>
      <w:r w:rsidRPr="002164E2">
        <w:rPr>
          <w:rFonts w:ascii="Times New Roman" w:hAnsi="Times New Roman"/>
          <w:bCs/>
          <w:sz w:val="24"/>
          <w:szCs w:val="24"/>
          <w:lang w:val="uk-UA"/>
        </w:rPr>
        <w:t>Визначення вартості земельної ділянки за обраними методичними підходами та формулювання остаточного висновку.</w:t>
      </w:r>
    </w:p>
    <w:p w:rsidR="00977EF2" w:rsidRPr="002164E2" w:rsidRDefault="00977EF2" w:rsidP="00977EF2">
      <w:pPr>
        <w:pStyle w:val="2"/>
        <w:rPr>
          <w:rFonts w:ascii="Times New Roman" w:hAnsi="Times New Roman"/>
          <w:bCs/>
          <w:sz w:val="24"/>
          <w:lang w:val="uk-UA"/>
        </w:rPr>
      </w:pPr>
      <w:r>
        <w:rPr>
          <w:rFonts w:ascii="Times New Roman" w:hAnsi="Times New Roman"/>
          <w:bCs/>
          <w:sz w:val="24"/>
          <w:lang w:val="uk-UA"/>
        </w:rPr>
        <w:t>1.7.</w:t>
      </w:r>
      <w:r w:rsidRPr="002164E2">
        <w:rPr>
          <w:rFonts w:ascii="Times New Roman" w:hAnsi="Times New Roman"/>
          <w:bCs/>
          <w:sz w:val="24"/>
          <w:lang w:val="uk-UA"/>
        </w:rPr>
        <w:t>Складання звіту про оцінку.</w:t>
      </w:r>
    </w:p>
    <w:p w:rsidR="00977EF2" w:rsidRPr="002164E2" w:rsidRDefault="00977EF2" w:rsidP="00977EF2">
      <w:pPr>
        <w:pStyle w:val="2"/>
        <w:rPr>
          <w:sz w:val="24"/>
        </w:rPr>
      </w:pPr>
      <w:r>
        <w:rPr>
          <w:rFonts w:ascii="Times New Roman" w:hAnsi="Times New Roman"/>
          <w:bCs/>
          <w:sz w:val="24"/>
          <w:lang w:val="uk-UA"/>
        </w:rPr>
        <w:t>1.8.</w:t>
      </w:r>
      <w:r w:rsidRPr="002164E2">
        <w:rPr>
          <w:rFonts w:ascii="Times New Roman" w:hAnsi="Times New Roman"/>
          <w:bCs/>
          <w:sz w:val="24"/>
          <w:lang w:val="uk-UA"/>
        </w:rPr>
        <w:t xml:space="preserve">Складання висновку на </w:t>
      </w:r>
      <w:r w:rsidRPr="002164E2">
        <w:rPr>
          <w:rFonts w:ascii="Times New Roman" w:hAnsi="Times New Roman"/>
          <w:sz w:val="24"/>
          <w:lang w:val="uk-UA"/>
        </w:rPr>
        <w:t>звіт</w:t>
      </w:r>
      <w:bookmarkStart w:id="1" w:name="__DdeLink__85907_3578066680"/>
      <w:r w:rsidRPr="002164E2">
        <w:rPr>
          <w:rFonts w:ascii="Times New Roman" w:hAnsi="Times New Roman"/>
          <w:sz w:val="24"/>
          <w:lang w:val="uk-UA"/>
        </w:rPr>
        <w:t xml:space="preserve"> про експертну грошову оцінку земельної ділянки</w:t>
      </w:r>
      <w:bookmarkEnd w:id="1"/>
      <w:r w:rsidRPr="002164E2">
        <w:rPr>
          <w:rFonts w:ascii="Times New Roman" w:hAnsi="Times New Roman"/>
          <w:sz w:val="24"/>
          <w:lang w:val="uk-UA"/>
        </w:rPr>
        <w:t>.</w:t>
      </w:r>
    </w:p>
    <w:p w:rsidR="00977EF2" w:rsidRPr="002164E2" w:rsidRDefault="00977EF2" w:rsidP="00977EF2">
      <w:pPr>
        <w:pStyle w:val="2"/>
        <w:rPr>
          <w:rFonts w:ascii="Times New Roman" w:hAnsi="Times New Roman"/>
          <w:sz w:val="24"/>
          <w:highlight w:val="yellow"/>
          <w:lang w:val="uk-UA"/>
        </w:rPr>
      </w:pPr>
      <w:r>
        <w:rPr>
          <w:rFonts w:ascii="Times New Roman" w:hAnsi="Times New Roman"/>
          <w:sz w:val="24"/>
          <w:lang w:val="uk-UA"/>
        </w:rPr>
        <w:lastRenderedPageBreak/>
        <w:t>1.9.</w:t>
      </w:r>
      <w:r w:rsidRPr="002164E2">
        <w:rPr>
          <w:rFonts w:ascii="Times New Roman" w:hAnsi="Times New Roman"/>
          <w:sz w:val="24"/>
          <w:lang w:val="uk-UA"/>
        </w:rPr>
        <w:t>Отримання позитивної рецензії на звіт про експертну грошову оцінку земельної ділянки.</w:t>
      </w:r>
    </w:p>
    <w:p w:rsidR="00977EF2" w:rsidRPr="002164E2" w:rsidRDefault="00977EF2" w:rsidP="00977EF2">
      <w:pPr>
        <w:pStyle w:val="2"/>
        <w:rPr>
          <w:rFonts w:ascii="Times New Roman" w:hAnsi="Times New Roman"/>
          <w:sz w:val="24"/>
          <w:lang w:val="uk-UA"/>
        </w:rPr>
      </w:pPr>
      <w:r w:rsidRPr="002164E2">
        <w:rPr>
          <w:rFonts w:ascii="Times New Roman" w:hAnsi="Times New Roman"/>
          <w:sz w:val="24"/>
          <w:lang w:val="uk-UA"/>
        </w:rPr>
        <w:t>Звіт про оцінку та Висновки на звіт про експертну грошову оцінку земельної ділянки оформляються в установленому законом порядку.</w:t>
      </w:r>
    </w:p>
    <w:p w:rsidR="00977EF2" w:rsidRPr="002164E2" w:rsidRDefault="00977EF2" w:rsidP="00977EF2">
      <w:pPr>
        <w:widowControl w:val="0"/>
        <w:spacing w:after="0" w:line="240" w:lineRule="auto"/>
        <w:ind w:firstLine="567"/>
        <w:jc w:val="both"/>
        <w:rPr>
          <w:rFonts w:ascii="Times New Roman" w:hAnsi="Times New Roman"/>
          <w:sz w:val="24"/>
          <w:szCs w:val="24"/>
          <w:lang w:val="uk-UA"/>
        </w:rPr>
      </w:pPr>
    </w:p>
    <w:p w:rsidR="00977EF2" w:rsidRPr="002164E2" w:rsidRDefault="00977EF2" w:rsidP="00977EF2">
      <w:pPr>
        <w:pStyle w:val="2"/>
        <w:rPr>
          <w:rFonts w:ascii="Times New Roman" w:hAnsi="Times New Roman"/>
          <w:sz w:val="24"/>
        </w:rPr>
      </w:pPr>
      <w:r w:rsidRPr="002164E2">
        <w:rPr>
          <w:rFonts w:ascii="Times New Roman" w:hAnsi="Times New Roman"/>
          <w:b/>
          <w:bCs/>
          <w:sz w:val="24"/>
          <w:lang w:val="uk-UA"/>
        </w:rPr>
        <w:t>2. Звіт про експертну грошову оцінку земельної ділянки повинен містити: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2.1. Опис об’єкта оцінки, який дає змогу його ідентифікувати.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bCs/>
          <w:sz w:val="24"/>
          <w:szCs w:val="24"/>
          <w:lang w:val="uk-UA"/>
        </w:rPr>
      </w:pPr>
      <w:r w:rsidRPr="002164E2">
        <w:rPr>
          <w:rFonts w:ascii="Times New Roman" w:hAnsi="Times New Roman"/>
          <w:bCs/>
          <w:sz w:val="24"/>
          <w:szCs w:val="24"/>
          <w:lang w:val="uk-UA"/>
        </w:rPr>
        <w:t>2.2. Дату оцінки та дату завершення складання звіту, а у разі потреби – строк дії звіту та висновку про вартість майна відповідно до вимог законодавства.</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2.3. Мету проведення оцінки та обґрунтування вибору відповідної бази оцінки.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2.4. Перелік нормативно – правових актів, відповідно до яких проводилася оцінка.</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2.5. Перелік обмежень щодо застосування результатів оцінки.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2.6. Виклад усіх припущень, у межах яких проводилася оцінка.</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2.7. Опис та аналіз зібраних і використаних вихідних даних та іншої інформації під час проведення оцінки.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2.8. Висновки оцінювачів щодо аналізу існуючого використання та найбільш ефективного використання об’єкта оцінки.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2.9. Виклад змісту застосованих методичних підходів, методів та оціночних процедур, а також відповідних розрахунків, за допомогою яких підготовлено висновок про вартість майна.</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Cs/>
          <w:sz w:val="24"/>
          <w:szCs w:val="24"/>
          <w:lang w:val="uk-UA"/>
        </w:rPr>
        <w:t>2.10. Письмову заяву оцінювача про якість використаних вихідних даних та іншої інформації, особистий огляд об’єкта оцінки, дотримання національних стандартів оцінки майна та інших нормативно – правових актів з оцінки майна під час її проведення, інші заяви, що є важливими для підтвердження достовірності та об’єктивності оцінки  майна і висновку про його вартість.</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Pr>
          <w:rFonts w:ascii="Times New Roman" w:hAnsi="Times New Roman"/>
          <w:bCs/>
          <w:sz w:val="24"/>
          <w:szCs w:val="24"/>
          <w:lang w:val="uk-UA"/>
        </w:rPr>
        <w:t>2.11.</w:t>
      </w:r>
      <w:r w:rsidRPr="002164E2">
        <w:rPr>
          <w:rFonts w:ascii="Times New Roman" w:hAnsi="Times New Roman"/>
          <w:bCs/>
          <w:sz w:val="24"/>
          <w:szCs w:val="24"/>
          <w:lang w:val="uk-UA"/>
        </w:rPr>
        <w:t>Висновок експертів про оцінну вартість земельної ділянки, у складі якого зазначаються відомості про:</w:t>
      </w:r>
    </w:p>
    <w:p w:rsidR="00977EF2" w:rsidRPr="00977EF2" w:rsidRDefault="00977EF2" w:rsidP="00977EF2">
      <w:pPr>
        <w:pStyle w:val="a3"/>
        <w:numPr>
          <w:ilvl w:val="0"/>
          <w:numId w:val="5"/>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851"/>
        </w:tabs>
        <w:spacing w:after="0" w:line="240" w:lineRule="auto"/>
        <w:ind w:left="0" w:firstLine="567"/>
        <w:jc w:val="both"/>
        <w:rPr>
          <w:rFonts w:ascii="Times New Roman" w:hAnsi="Times New Roman"/>
          <w:bCs/>
          <w:sz w:val="24"/>
          <w:szCs w:val="24"/>
          <w:lang w:val="uk-UA"/>
        </w:rPr>
      </w:pPr>
      <w:r w:rsidRPr="00977EF2">
        <w:rPr>
          <w:rFonts w:ascii="Times New Roman" w:hAnsi="Times New Roman"/>
          <w:bCs/>
          <w:sz w:val="24"/>
          <w:szCs w:val="24"/>
          <w:lang w:val="uk-UA"/>
        </w:rPr>
        <w:t>замовника оцінки та виконавця звіту про оцінку майна;</w:t>
      </w:r>
    </w:p>
    <w:p w:rsidR="00977EF2" w:rsidRPr="00977EF2" w:rsidRDefault="00977EF2" w:rsidP="00977EF2">
      <w:pPr>
        <w:pStyle w:val="a3"/>
        <w:numPr>
          <w:ilvl w:val="0"/>
          <w:numId w:val="5"/>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851"/>
        </w:tabs>
        <w:spacing w:after="0" w:line="240" w:lineRule="auto"/>
        <w:ind w:left="0" w:firstLine="567"/>
        <w:jc w:val="both"/>
        <w:rPr>
          <w:rFonts w:ascii="Times New Roman" w:hAnsi="Times New Roman"/>
          <w:bCs/>
          <w:sz w:val="24"/>
          <w:szCs w:val="24"/>
          <w:lang w:val="uk-UA"/>
        </w:rPr>
      </w:pPr>
      <w:r w:rsidRPr="00977EF2">
        <w:rPr>
          <w:rFonts w:ascii="Times New Roman" w:hAnsi="Times New Roman"/>
          <w:bCs/>
          <w:sz w:val="24"/>
          <w:szCs w:val="24"/>
          <w:lang w:val="uk-UA"/>
        </w:rPr>
        <w:t>назву об’єкта оцінки та його коротку характеристику;</w:t>
      </w:r>
    </w:p>
    <w:p w:rsidR="00977EF2" w:rsidRPr="00977EF2" w:rsidRDefault="00977EF2" w:rsidP="00977EF2">
      <w:pPr>
        <w:pStyle w:val="a3"/>
        <w:numPr>
          <w:ilvl w:val="0"/>
          <w:numId w:val="5"/>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851"/>
        </w:tabs>
        <w:spacing w:after="0" w:line="240" w:lineRule="auto"/>
        <w:ind w:left="0" w:firstLine="567"/>
        <w:jc w:val="both"/>
        <w:rPr>
          <w:rFonts w:ascii="Times New Roman" w:hAnsi="Times New Roman"/>
          <w:bCs/>
          <w:sz w:val="24"/>
          <w:szCs w:val="24"/>
          <w:lang w:val="uk-UA"/>
        </w:rPr>
      </w:pPr>
      <w:r w:rsidRPr="00977EF2">
        <w:rPr>
          <w:rFonts w:ascii="Times New Roman" w:hAnsi="Times New Roman"/>
          <w:bCs/>
          <w:sz w:val="24"/>
          <w:szCs w:val="24"/>
          <w:lang w:val="uk-UA"/>
        </w:rPr>
        <w:t>мету і дату оцінки;</w:t>
      </w:r>
    </w:p>
    <w:p w:rsidR="00977EF2" w:rsidRPr="00977EF2" w:rsidRDefault="00977EF2" w:rsidP="00977EF2">
      <w:pPr>
        <w:pStyle w:val="a3"/>
        <w:numPr>
          <w:ilvl w:val="0"/>
          <w:numId w:val="5"/>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851"/>
        </w:tabs>
        <w:spacing w:after="0" w:line="240" w:lineRule="auto"/>
        <w:ind w:left="0" w:firstLine="567"/>
        <w:jc w:val="both"/>
        <w:rPr>
          <w:rFonts w:ascii="Times New Roman" w:hAnsi="Times New Roman"/>
          <w:bCs/>
          <w:sz w:val="24"/>
          <w:szCs w:val="24"/>
          <w:lang w:val="uk-UA"/>
        </w:rPr>
      </w:pPr>
      <w:r w:rsidRPr="00977EF2">
        <w:rPr>
          <w:rFonts w:ascii="Times New Roman" w:hAnsi="Times New Roman"/>
          <w:bCs/>
          <w:sz w:val="24"/>
          <w:szCs w:val="24"/>
          <w:lang w:val="uk-UA"/>
        </w:rPr>
        <w:t>вид вартості, що визначався;</w:t>
      </w:r>
    </w:p>
    <w:p w:rsidR="00977EF2" w:rsidRPr="00977EF2" w:rsidRDefault="00977EF2" w:rsidP="00977EF2">
      <w:pPr>
        <w:pStyle w:val="a3"/>
        <w:numPr>
          <w:ilvl w:val="0"/>
          <w:numId w:val="5"/>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851"/>
        </w:tabs>
        <w:spacing w:after="0" w:line="240" w:lineRule="auto"/>
        <w:ind w:left="0" w:firstLine="567"/>
        <w:jc w:val="both"/>
        <w:rPr>
          <w:rFonts w:ascii="Times New Roman" w:hAnsi="Times New Roman"/>
          <w:bCs/>
          <w:sz w:val="24"/>
          <w:szCs w:val="24"/>
          <w:lang w:val="uk-UA"/>
        </w:rPr>
      </w:pPr>
      <w:r w:rsidRPr="00977EF2">
        <w:rPr>
          <w:rFonts w:ascii="Times New Roman" w:hAnsi="Times New Roman"/>
          <w:bCs/>
          <w:sz w:val="24"/>
          <w:szCs w:val="24"/>
          <w:lang w:val="uk-UA"/>
        </w:rPr>
        <w:t>використані методичні підходи;</w:t>
      </w:r>
    </w:p>
    <w:p w:rsidR="00977EF2" w:rsidRPr="00977EF2" w:rsidRDefault="00977EF2" w:rsidP="00977EF2">
      <w:pPr>
        <w:pStyle w:val="a3"/>
        <w:numPr>
          <w:ilvl w:val="0"/>
          <w:numId w:val="5"/>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851"/>
        </w:tabs>
        <w:spacing w:after="0" w:line="240" w:lineRule="auto"/>
        <w:ind w:left="0" w:firstLine="567"/>
        <w:jc w:val="both"/>
        <w:rPr>
          <w:rFonts w:ascii="Times New Roman" w:hAnsi="Times New Roman"/>
          <w:bCs/>
          <w:sz w:val="24"/>
          <w:szCs w:val="24"/>
          <w:lang w:val="uk-UA"/>
        </w:rPr>
      </w:pPr>
      <w:r w:rsidRPr="00977EF2">
        <w:rPr>
          <w:rFonts w:ascii="Times New Roman" w:hAnsi="Times New Roman"/>
          <w:bCs/>
          <w:sz w:val="24"/>
          <w:szCs w:val="24"/>
          <w:lang w:val="uk-UA"/>
        </w:rPr>
        <w:t>величину вартості, отриману в результаті оцінки.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2.12.</w:t>
      </w:r>
      <w:r w:rsidRPr="002164E2">
        <w:rPr>
          <w:rFonts w:ascii="Times New Roman" w:hAnsi="Times New Roman"/>
          <w:bCs/>
          <w:sz w:val="24"/>
          <w:szCs w:val="24"/>
          <w:lang w:val="uk-UA"/>
        </w:rPr>
        <w:t xml:space="preserve">Додатки з копіями вихідних даних, а також у разі потреби – інші інформаційні джерела, які роз’яснюють і підтверджують припущення і розрахунки. </w:t>
      </w: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r w:rsidRPr="002164E2">
        <w:rPr>
          <w:rFonts w:ascii="Times New Roman" w:hAnsi="Times New Roman"/>
          <w:bCs/>
          <w:sz w:val="24"/>
          <w:szCs w:val="24"/>
          <w:lang w:val="uk-UA"/>
        </w:rPr>
        <w:t>У складі додатків до звіту містяться: технічне завдання на виконання експертної грошової оцінки, витяг з державного земельного кадастру на земельну ділянку, копія документа, що посвідчує право користування земельною ділянкою (у разі наявності), копії правовстановлюючих документів на об’єкти нерухомого майна та інші вихідні дані та інформаційні джерела, що застосовані при проведені такої оцінки.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Pr>
          <w:rFonts w:ascii="Times New Roman" w:hAnsi="Times New Roman"/>
          <w:bCs/>
          <w:sz w:val="24"/>
          <w:szCs w:val="24"/>
          <w:lang w:val="uk-UA"/>
        </w:rPr>
        <w:t>2.13.</w:t>
      </w:r>
      <w:r w:rsidRPr="002164E2">
        <w:rPr>
          <w:rFonts w:ascii="Times New Roman" w:hAnsi="Times New Roman"/>
          <w:bCs/>
          <w:sz w:val="24"/>
          <w:szCs w:val="24"/>
          <w:lang w:val="uk-UA"/>
        </w:rPr>
        <w:t>Рішення уповноваженого органу про надання дозволу на проведення експертної грошової оцінки земельної ділянки.</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lang w:val="uk-UA"/>
        </w:rPr>
      </w:pPr>
      <w:r>
        <w:rPr>
          <w:rFonts w:ascii="Times New Roman" w:hAnsi="Times New Roman"/>
          <w:bCs/>
          <w:sz w:val="24"/>
          <w:szCs w:val="24"/>
          <w:lang w:val="uk-UA"/>
        </w:rPr>
        <w:t>2.14.</w:t>
      </w:r>
      <w:r w:rsidRPr="002164E2">
        <w:rPr>
          <w:rFonts w:ascii="Times New Roman" w:hAnsi="Times New Roman"/>
          <w:bCs/>
          <w:sz w:val="24"/>
          <w:szCs w:val="24"/>
          <w:lang w:val="uk-UA"/>
        </w:rPr>
        <w:t xml:space="preserve">Копії кваліфікаційних </w:t>
      </w:r>
      <w:proofErr w:type="spellStart"/>
      <w:r w:rsidRPr="002164E2">
        <w:rPr>
          <w:rFonts w:ascii="Times New Roman" w:hAnsi="Times New Roman"/>
          <w:bCs/>
          <w:sz w:val="24"/>
          <w:szCs w:val="24"/>
          <w:lang w:val="uk-UA"/>
        </w:rPr>
        <w:t>свідоцтв</w:t>
      </w:r>
      <w:proofErr w:type="spellEnd"/>
      <w:r w:rsidRPr="002164E2">
        <w:rPr>
          <w:rFonts w:ascii="Times New Roman" w:hAnsi="Times New Roman"/>
          <w:bCs/>
          <w:sz w:val="24"/>
          <w:szCs w:val="24"/>
          <w:lang w:val="uk-UA"/>
        </w:rPr>
        <w:t xml:space="preserve"> оцінювачів та сертифікати залучених фахівців.</w:t>
      </w:r>
    </w:p>
    <w:p w:rsidR="00977EF2" w:rsidRPr="002164E2" w:rsidRDefault="00977EF2" w:rsidP="00977EF2">
      <w:pPr>
        <w:widowControl w:val="0"/>
        <w:spacing w:after="0" w:line="240" w:lineRule="auto"/>
        <w:ind w:firstLine="567"/>
        <w:jc w:val="both"/>
        <w:rPr>
          <w:rFonts w:ascii="Times New Roman" w:hAnsi="Times New Roman"/>
          <w:b/>
          <w:bCs/>
          <w:sz w:val="24"/>
          <w:szCs w:val="24"/>
          <w:lang w:val="uk-UA"/>
        </w:rPr>
      </w:pPr>
    </w:p>
    <w:p w:rsidR="00977EF2" w:rsidRPr="002164E2" w:rsidRDefault="00977EF2" w:rsidP="00977EF2">
      <w:pPr>
        <w:widowControl w:val="0"/>
        <w:spacing w:after="0" w:line="240" w:lineRule="auto"/>
        <w:ind w:firstLine="567"/>
        <w:jc w:val="both"/>
        <w:rPr>
          <w:rFonts w:ascii="Times New Roman" w:hAnsi="Times New Roman"/>
          <w:sz w:val="24"/>
          <w:szCs w:val="24"/>
          <w:lang w:val="uk-UA"/>
        </w:rPr>
      </w:pPr>
      <w:r w:rsidRPr="002164E2">
        <w:rPr>
          <w:rFonts w:ascii="Times New Roman" w:hAnsi="Times New Roman"/>
          <w:b/>
          <w:bCs/>
          <w:sz w:val="24"/>
          <w:szCs w:val="24"/>
          <w:lang w:val="uk-UA"/>
        </w:rPr>
        <w:t>3. При застосуванні методичного підходу, який ґрунтується на зіставленні цін продажу подібних земельних ділянок,</w:t>
      </w:r>
      <w:r w:rsidRPr="002164E2">
        <w:rPr>
          <w:rFonts w:ascii="Times New Roman" w:hAnsi="Times New Roman"/>
          <w:bCs/>
          <w:sz w:val="24"/>
          <w:szCs w:val="24"/>
          <w:lang w:val="uk-UA"/>
        </w:rPr>
        <w:t xml:space="preserve"> у звіті чітко зазначаються фактори, за якими проводиться порівняння, та розміри поправок у ціні продажу земельних ділянок, обраних для порівняння з земельною ділянкою, що оцінюється.</w:t>
      </w: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sidRPr="002164E2">
        <w:rPr>
          <w:rFonts w:ascii="Times New Roman" w:hAnsi="Times New Roman"/>
          <w:b/>
          <w:bCs/>
          <w:sz w:val="24"/>
          <w:szCs w:val="24"/>
          <w:lang w:val="uk-UA"/>
        </w:rPr>
        <w:t xml:space="preserve">4. При застосуванні методичного підходу, який ґрунтується на капіталізації чистого операційного або рентного доходу від земельної ділянки, </w:t>
      </w:r>
      <w:r w:rsidRPr="002164E2">
        <w:rPr>
          <w:rFonts w:ascii="Times New Roman" w:hAnsi="Times New Roman"/>
          <w:bCs/>
          <w:sz w:val="24"/>
          <w:szCs w:val="24"/>
          <w:lang w:val="uk-UA"/>
        </w:rPr>
        <w:t>у звіті відображаються:</w:t>
      </w:r>
    </w:p>
    <w:p w:rsidR="00977EF2" w:rsidRPr="002164E2" w:rsidRDefault="00977EF2" w:rsidP="00977EF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s>
        <w:spacing w:after="0" w:line="240" w:lineRule="auto"/>
        <w:ind w:firstLine="567"/>
        <w:jc w:val="both"/>
        <w:rPr>
          <w:rFonts w:ascii="Times New Roman" w:hAnsi="Times New Roman"/>
          <w:sz w:val="24"/>
          <w:szCs w:val="24"/>
        </w:rPr>
      </w:pPr>
      <w:r>
        <w:rPr>
          <w:rFonts w:ascii="Times New Roman" w:hAnsi="Times New Roman"/>
          <w:bCs/>
          <w:sz w:val="24"/>
          <w:szCs w:val="24"/>
          <w:lang w:val="uk-UA"/>
        </w:rPr>
        <w:t>4.1.</w:t>
      </w:r>
      <w:r w:rsidRPr="002164E2">
        <w:rPr>
          <w:rFonts w:ascii="Times New Roman" w:hAnsi="Times New Roman"/>
          <w:bCs/>
          <w:sz w:val="24"/>
          <w:szCs w:val="24"/>
          <w:lang w:val="uk-UA"/>
        </w:rPr>
        <w:t>Розрахунок річного чистого доходу від ефективного використання земельної ділянки, з урахуванням обтяжень та обмежень щодо її використання.</w:t>
      </w:r>
    </w:p>
    <w:p w:rsidR="00977EF2" w:rsidRPr="002164E2" w:rsidRDefault="00977EF2" w:rsidP="00977EF2">
      <w:pPr>
        <w:widowControl w:val="0"/>
        <w:spacing w:after="0" w:line="240" w:lineRule="auto"/>
        <w:ind w:firstLine="567"/>
        <w:jc w:val="both"/>
        <w:rPr>
          <w:rFonts w:ascii="Times New Roman" w:hAnsi="Times New Roman"/>
          <w:sz w:val="24"/>
          <w:szCs w:val="24"/>
        </w:rPr>
      </w:pPr>
      <w:r>
        <w:rPr>
          <w:rFonts w:ascii="Times New Roman" w:hAnsi="Times New Roman"/>
          <w:bCs/>
          <w:sz w:val="24"/>
          <w:szCs w:val="24"/>
          <w:lang w:val="uk-UA"/>
        </w:rPr>
        <w:t>4.2.</w:t>
      </w:r>
      <w:r w:rsidRPr="002164E2">
        <w:rPr>
          <w:rFonts w:ascii="Times New Roman" w:hAnsi="Times New Roman"/>
          <w:bCs/>
          <w:sz w:val="24"/>
          <w:szCs w:val="24"/>
          <w:lang w:val="uk-UA"/>
        </w:rPr>
        <w:t>Величина ставки капіталізації щодо конкретної земельної ділянки.</w:t>
      </w: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p>
    <w:p w:rsidR="00977EF2" w:rsidRPr="002164E2" w:rsidRDefault="00977EF2" w:rsidP="00977EF2">
      <w:pPr>
        <w:widowControl w:val="0"/>
        <w:spacing w:after="0" w:line="240" w:lineRule="auto"/>
        <w:ind w:firstLine="567"/>
        <w:jc w:val="both"/>
        <w:rPr>
          <w:rFonts w:ascii="Times New Roman" w:hAnsi="Times New Roman"/>
          <w:sz w:val="24"/>
          <w:szCs w:val="24"/>
          <w:lang w:val="uk-UA"/>
        </w:rPr>
      </w:pPr>
      <w:r w:rsidRPr="002164E2">
        <w:rPr>
          <w:rFonts w:ascii="Times New Roman" w:hAnsi="Times New Roman"/>
          <w:b/>
          <w:bCs/>
          <w:sz w:val="24"/>
          <w:szCs w:val="24"/>
          <w:lang w:val="uk-UA"/>
        </w:rPr>
        <w:lastRenderedPageBreak/>
        <w:t xml:space="preserve">5. При застосуванні методичного підходу, який ґрунтується на врахуванні витрат на земельні поліпшення, </w:t>
      </w:r>
      <w:r w:rsidRPr="002164E2">
        <w:rPr>
          <w:rFonts w:ascii="Times New Roman" w:hAnsi="Times New Roman"/>
          <w:bCs/>
          <w:sz w:val="24"/>
          <w:szCs w:val="24"/>
          <w:lang w:val="uk-UA"/>
        </w:rPr>
        <w:t xml:space="preserve">у звіті відображаються рівень витрат на земельні поліпшення, розрахунок яких здійснюється на основі ринкових витрат, пов'язаних із спорудженням будинків, будівель та споруд, що розташовані в межах земельної ділянки (включаючи підземний простір), за умови її найбільш ефективного використання. </w:t>
      </w: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r w:rsidRPr="002164E2">
        <w:rPr>
          <w:rFonts w:ascii="Times New Roman" w:hAnsi="Times New Roman"/>
          <w:b/>
          <w:bCs/>
          <w:sz w:val="24"/>
          <w:szCs w:val="24"/>
          <w:lang w:val="uk-UA"/>
        </w:rPr>
        <w:t xml:space="preserve">6. Звіт про оцінку </w:t>
      </w:r>
      <w:r w:rsidRPr="002164E2">
        <w:rPr>
          <w:rFonts w:ascii="Times New Roman" w:hAnsi="Times New Roman"/>
          <w:bCs/>
          <w:sz w:val="24"/>
          <w:szCs w:val="24"/>
          <w:lang w:val="uk-UA"/>
        </w:rPr>
        <w:t xml:space="preserve">земельної ділянки підписується оцінювачами, які безпосередньо проводили оцінку, і скріплюється печаткою та підписом керівника Учасника (суб’єкта оціночної діяльності – суб’єкта господарювання). </w:t>
      </w: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r w:rsidRPr="002164E2">
        <w:rPr>
          <w:rFonts w:ascii="Times New Roman" w:hAnsi="Times New Roman"/>
          <w:bCs/>
          <w:sz w:val="24"/>
          <w:szCs w:val="24"/>
          <w:lang w:val="uk-UA"/>
        </w:rPr>
        <w:t xml:space="preserve">Документи та інші інформаційні матеріали, зібрані оцінювачами в процесі проведення оцінки додаються до звіту. </w:t>
      </w: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r w:rsidRPr="002164E2">
        <w:rPr>
          <w:rFonts w:ascii="Times New Roman" w:hAnsi="Times New Roman"/>
          <w:bCs/>
          <w:sz w:val="24"/>
          <w:szCs w:val="24"/>
          <w:lang w:val="uk-UA"/>
        </w:rPr>
        <w:t xml:space="preserve">Виконавець (оцінювач) повинен самостійно отримати позитивну рецензію на виготовлений ним звіт з експертної грошової оцінки, зовнішнім рецензентом. </w:t>
      </w: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r w:rsidRPr="002164E2">
        <w:rPr>
          <w:rFonts w:ascii="Times New Roman" w:hAnsi="Times New Roman"/>
          <w:bCs/>
          <w:sz w:val="24"/>
          <w:szCs w:val="24"/>
          <w:lang w:val="uk-UA"/>
        </w:rPr>
        <w:t xml:space="preserve">Оригінал такої рецензії обов’язково надається оцінювачем Замовнику одночасно зі звітом про експертну грошову оцінку земельної ділянки. </w:t>
      </w: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p>
    <w:p w:rsidR="00977EF2" w:rsidRPr="002164E2" w:rsidRDefault="00977EF2" w:rsidP="00977EF2">
      <w:pPr>
        <w:widowControl w:val="0"/>
        <w:spacing w:after="0" w:line="240" w:lineRule="auto"/>
        <w:ind w:firstLine="567"/>
        <w:jc w:val="both"/>
        <w:rPr>
          <w:rFonts w:ascii="Times New Roman" w:hAnsi="Times New Roman"/>
          <w:bCs/>
          <w:sz w:val="24"/>
          <w:szCs w:val="24"/>
          <w:lang w:val="uk-UA"/>
        </w:rPr>
      </w:pPr>
      <w:r w:rsidRPr="002164E2">
        <w:rPr>
          <w:rFonts w:ascii="Times New Roman" w:hAnsi="Times New Roman"/>
          <w:b/>
          <w:bCs/>
          <w:sz w:val="24"/>
          <w:szCs w:val="24"/>
          <w:lang w:val="uk-UA"/>
        </w:rPr>
        <w:t>7. Висновки на звіт про експертну грошову оцінку</w:t>
      </w:r>
      <w:r w:rsidRPr="002164E2">
        <w:rPr>
          <w:rFonts w:ascii="Times New Roman" w:hAnsi="Times New Roman"/>
          <w:bCs/>
          <w:sz w:val="24"/>
          <w:szCs w:val="24"/>
          <w:lang w:val="uk-UA"/>
        </w:rPr>
        <w:t xml:space="preserve"> земельної ділянки оформляються в установленому законом порядку у 3 (трьох) примірниках. </w:t>
      </w:r>
    </w:p>
    <w:p w:rsidR="00853447" w:rsidRPr="00D34C1D" w:rsidRDefault="00853447" w:rsidP="00977EF2">
      <w:pPr>
        <w:spacing w:after="0"/>
        <w:jc w:val="center"/>
        <w:rPr>
          <w:rFonts w:ascii="Times New Roman" w:hAnsi="Times New Roman"/>
          <w:sz w:val="24"/>
          <w:szCs w:val="24"/>
          <w:lang w:val="uk-UA"/>
        </w:rPr>
      </w:pPr>
    </w:p>
    <w:sectPr w:rsidR="00853447" w:rsidRPr="00D34C1D" w:rsidSect="00E33060">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1">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8C75EE7"/>
    <w:multiLevelType w:val="multilevel"/>
    <w:tmpl w:val="39363E5A"/>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4565F1F"/>
    <w:multiLevelType w:val="multilevel"/>
    <w:tmpl w:val="D4DC7B56"/>
    <w:lvl w:ilvl="0">
      <w:start w:val="1"/>
      <w:numFmt w:val="bullet"/>
      <w:lvlText w:val=""/>
      <w:lvlJc w:val="left"/>
      <w:pPr>
        <w:ind w:left="1287" w:hanging="360"/>
      </w:pPr>
      <w:rPr>
        <w:rFonts w:ascii="Symbol" w:hAnsi="Symbol" w:cs="Symbol"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4B2D483A"/>
    <w:multiLevelType w:val="hybridMultilevel"/>
    <w:tmpl w:val="6D46A2BA"/>
    <w:lvl w:ilvl="0" w:tplc="328CA6EE">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D4"/>
    <w:rsid w:val="00034F08"/>
    <w:rsid w:val="00082DD4"/>
    <w:rsid w:val="000A7BC6"/>
    <w:rsid w:val="00323939"/>
    <w:rsid w:val="003D53EC"/>
    <w:rsid w:val="00497921"/>
    <w:rsid w:val="004E59AF"/>
    <w:rsid w:val="00500866"/>
    <w:rsid w:val="005C3DB3"/>
    <w:rsid w:val="00853447"/>
    <w:rsid w:val="00942600"/>
    <w:rsid w:val="00977EF2"/>
    <w:rsid w:val="00AC7631"/>
    <w:rsid w:val="00B74B43"/>
    <w:rsid w:val="00B97082"/>
    <w:rsid w:val="00BF1822"/>
    <w:rsid w:val="00C70B25"/>
    <w:rsid w:val="00D13868"/>
    <w:rsid w:val="00D34C1D"/>
    <w:rsid w:val="00D86D57"/>
    <w:rsid w:val="00E33060"/>
    <w:rsid w:val="00EE1DCA"/>
    <w:rsid w:val="00F225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60"/>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4"/>
    <w:uiPriority w:val="34"/>
    <w:qFormat/>
    <w:rsid w:val="00E33060"/>
    <w:pPr>
      <w:ind w:left="720"/>
      <w:contextualSpacing/>
    </w:pPr>
    <w:rPr>
      <w:sz w:val="20"/>
      <w:szCs w:val="20"/>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3"/>
    <w:uiPriority w:val="34"/>
    <w:locked/>
    <w:rsid w:val="00E33060"/>
    <w:rPr>
      <w:rFonts w:ascii="Calibri" w:eastAsia="Calibri" w:hAnsi="Calibri" w:cs="Times New Roman"/>
      <w:sz w:val="20"/>
      <w:szCs w:val="20"/>
      <w:lang w:val="ru-RU"/>
    </w:rPr>
  </w:style>
  <w:style w:type="table" w:styleId="a5">
    <w:name w:val="Table Grid"/>
    <w:basedOn w:val="a1"/>
    <w:uiPriority w:val="59"/>
    <w:rsid w:val="00AC7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rsid w:val="004E59AF"/>
    <w:rPr>
      <w:color w:val="0000FF"/>
      <w:u w:val="single"/>
    </w:rPr>
  </w:style>
  <w:style w:type="paragraph" w:styleId="2">
    <w:name w:val="Body Text Indent 2"/>
    <w:basedOn w:val="a"/>
    <w:link w:val="20"/>
    <w:rsid w:val="00977EF2"/>
    <w:pPr>
      <w:suppressAutoHyphens/>
      <w:spacing w:after="0" w:line="240" w:lineRule="auto"/>
      <w:ind w:firstLine="567"/>
      <w:jc w:val="both"/>
    </w:pPr>
    <w:rPr>
      <w:rFonts w:eastAsia="Times New Roman" w:cs="Calibri"/>
      <w:sz w:val="28"/>
      <w:szCs w:val="24"/>
      <w:lang w:val="x-none" w:bidi="en-US"/>
    </w:rPr>
  </w:style>
  <w:style w:type="character" w:customStyle="1" w:styleId="20">
    <w:name w:val="Основний текст з відступом 2 Знак"/>
    <w:basedOn w:val="a0"/>
    <w:link w:val="2"/>
    <w:rsid w:val="00977EF2"/>
    <w:rPr>
      <w:rFonts w:ascii="Calibri" w:eastAsia="Times New Roman" w:hAnsi="Calibri" w:cs="Calibri"/>
      <w:sz w:val="28"/>
      <w:szCs w:val="24"/>
      <w:lang w:val="x-none" w:bidi="en-US"/>
    </w:rPr>
  </w:style>
  <w:style w:type="character" w:styleId="a7">
    <w:name w:val="Emphasis"/>
    <w:qFormat/>
    <w:rsid w:val="00977EF2"/>
    <w:rPr>
      <w:rFonts w:ascii="Calibri" w:hAnsi="Calibri"/>
      <w:b/>
      <w:i/>
      <w:iCs/>
    </w:rPr>
  </w:style>
  <w:style w:type="paragraph" w:styleId="a8">
    <w:name w:val="annotation text"/>
    <w:basedOn w:val="a"/>
    <w:link w:val="a9"/>
    <w:uiPriority w:val="99"/>
    <w:unhideWhenUsed/>
    <w:qFormat/>
    <w:rsid w:val="00977EF2"/>
    <w:pPr>
      <w:spacing w:line="240" w:lineRule="auto"/>
    </w:pPr>
    <w:rPr>
      <w:sz w:val="20"/>
      <w:szCs w:val="20"/>
      <w:lang w:val="x-none"/>
    </w:rPr>
  </w:style>
  <w:style w:type="character" w:customStyle="1" w:styleId="a9">
    <w:name w:val="Текст примітки Знак"/>
    <w:basedOn w:val="a0"/>
    <w:link w:val="a8"/>
    <w:uiPriority w:val="99"/>
    <w:rsid w:val="00977EF2"/>
    <w:rPr>
      <w:rFonts w:ascii="Calibri" w:eastAsia="Calibri" w:hAnsi="Calibri"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60"/>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4"/>
    <w:uiPriority w:val="34"/>
    <w:qFormat/>
    <w:rsid w:val="00E33060"/>
    <w:pPr>
      <w:ind w:left="720"/>
      <w:contextualSpacing/>
    </w:pPr>
    <w:rPr>
      <w:sz w:val="20"/>
      <w:szCs w:val="20"/>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3"/>
    <w:uiPriority w:val="34"/>
    <w:locked/>
    <w:rsid w:val="00E33060"/>
    <w:rPr>
      <w:rFonts w:ascii="Calibri" w:eastAsia="Calibri" w:hAnsi="Calibri" w:cs="Times New Roman"/>
      <w:sz w:val="20"/>
      <w:szCs w:val="20"/>
      <w:lang w:val="ru-RU"/>
    </w:rPr>
  </w:style>
  <w:style w:type="table" w:styleId="a5">
    <w:name w:val="Table Grid"/>
    <w:basedOn w:val="a1"/>
    <w:uiPriority w:val="59"/>
    <w:rsid w:val="00AC7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semiHidden/>
    <w:rsid w:val="004E59AF"/>
    <w:rPr>
      <w:color w:val="0000FF"/>
      <w:u w:val="single"/>
    </w:rPr>
  </w:style>
  <w:style w:type="paragraph" w:styleId="2">
    <w:name w:val="Body Text Indent 2"/>
    <w:basedOn w:val="a"/>
    <w:link w:val="20"/>
    <w:rsid w:val="00977EF2"/>
    <w:pPr>
      <w:suppressAutoHyphens/>
      <w:spacing w:after="0" w:line="240" w:lineRule="auto"/>
      <w:ind w:firstLine="567"/>
      <w:jc w:val="both"/>
    </w:pPr>
    <w:rPr>
      <w:rFonts w:eastAsia="Times New Roman" w:cs="Calibri"/>
      <w:sz w:val="28"/>
      <w:szCs w:val="24"/>
      <w:lang w:val="x-none" w:bidi="en-US"/>
    </w:rPr>
  </w:style>
  <w:style w:type="character" w:customStyle="1" w:styleId="20">
    <w:name w:val="Основний текст з відступом 2 Знак"/>
    <w:basedOn w:val="a0"/>
    <w:link w:val="2"/>
    <w:rsid w:val="00977EF2"/>
    <w:rPr>
      <w:rFonts w:ascii="Calibri" w:eastAsia="Times New Roman" w:hAnsi="Calibri" w:cs="Calibri"/>
      <w:sz w:val="28"/>
      <w:szCs w:val="24"/>
      <w:lang w:val="x-none" w:bidi="en-US"/>
    </w:rPr>
  </w:style>
  <w:style w:type="character" w:styleId="a7">
    <w:name w:val="Emphasis"/>
    <w:qFormat/>
    <w:rsid w:val="00977EF2"/>
    <w:rPr>
      <w:rFonts w:ascii="Calibri" w:hAnsi="Calibri"/>
      <w:b/>
      <w:i/>
      <w:iCs/>
    </w:rPr>
  </w:style>
  <w:style w:type="paragraph" w:styleId="a8">
    <w:name w:val="annotation text"/>
    <w:basedOn w:val="a"/>
    <w:link w:val="a9"/>
    <w:uiPriority w:val="99"/>
    <w:unhideWhenUsed/>
    <w:qFormat/>
    <w:rsid w:val="00977EF2"/>
    <w:pPr>
      <w:spacing w:line="240" w:lineRule="auto"/>
    </w:pPr>
    <w:rPr>
      <w:sz w:val="20"/>
      <w:szCs w:val="20"/>
      <w:lang w:val="x-none"/>
    </w:rPr>
  </w:style>
  <w:style w:type="character" w:customStyle="1" w:styleId="a9">
    <w:name w:val="Текст примітки Знак"/>
    <w:basedOn w:val="a0"/>
    <w:link w:val="a8"/>
    <w:uiPriority w:val="99"/>
    <w:rsid w:val="00977EF2"/>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4581</Words>
  <Characters>2612</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Струк Оксана Миколаївна</dc:creator>
  <cp:lastModifiedBy>Струк Оксана Миколаївна</cp:lastModifiedBy>
  <cp:revision>7</cp:revision>
  <dcterms:created xsi:type="dcterms:W3CDTF">2023-02-16T12:07:00Z</dcterms:created>
  <dcterms:modified xsi:type="dcterms:W3CDTF">2024-03-20T12:36:00Z</dcterms:modified>
</cp:coreProperties>
</file>