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7B" w:rsidRDefault="0037007B" w:rsidP="00894182">
      <w:pPr>
        <w:pStyle w:val="11"/>
        <w:spacing w:line="240" w:lineRule="auto"/>
        <w:ind w:firstLine="700"/>
        <w:jc w:val="right"/>
        <w:rPr>
          <w:rFonts w:ascii="Times New Roman" w:hAnsi="Times New Roman"/>
          <w:sz w:val="24"/>
          <w:szCs w:val="24"/>
        </w:rPr>
      </w:pPr>
      <w:r>
        <w:rPr>
          <w:rFonts w:ascii="Times New Roman" w:hAnsi="Times New Roman"/>
          <w:b/>
          <w:sz w:val="24"/>
          <w:szCs w:val="24"/>
        </w:rPr>
        <w:t>ДОДАТОК 1</w:t>
      </w:r>
    </w:p>
    <w:p w:rsidR="0037007B" w:rsidRDefault="0037007B" w:rsidP="00894182">
      <w:pPr>
        <w:widowControl/>
        <w:shd w:val="clear" w:color="auto" w:fill="FFFFFF"/>
        <w:snapToGrid/>
        <w:spacing w:line="100" w:lineRule="atLeast"/>
        <w:ind w:firstLine="0"/>
        <w:jc w:val="right"/>
        <w:rPr>
          <w:i/>
          <w:color w:val="000000"/>
          <w:sz w:val="24"/>
          <w:szCs w:val="24"/>
        </w:rPr>
      </w:pPr>
      <w:r>
        <w:rPr>
          <w:i/>
          <w:color w:val="000000"/>
          <w:sz w:val="24"/>
          <w:szCs w:val="24"/>
        </w:rPr>
        <w:t>до тендерної документації</w:t>
      </w:r>
    </w:p>
    <w:p w:rsidR="0037007B" w:rsidRDefault="0037007B" w:rsidP="00894182">
      <w:pPr>
        <w:widowControl/>
        <w:shd w:val="clear" w:color="auto" w:fill="FFFFFF"/>
        <w:snapToGrid/>
        <w:spacing w:line="100" w:lineRule="atLeast"/>
        <w:ind w:firstLine="0"/>
        <w:jc w:val="right"/>
        <w:rPr>
          <w:b/>
          <w:bCs/>
          <w:kern w:val="2"/>
          <w:sz w:val="24"/>
          <w:szCs w:val="24"/>
          <w:lang w:eastAsia="ar-SA"/>
        </w:rPr>
      </w:pPr>
    </w:p>
    <w:p w:rsidR="0037007B" w:rsidRDefault="0037007B" w:rsidP="00894182">
      <w:pPr>
        <w:widowControl/>
        <w:shd w:val="clear" w:color="auto" w:fill="FFFFFF"/>
        <w:snapToGrid/>
        <w:spacing w:line="100" w:lineRule="atLeast"/>
        <w:ind w:firstLine="0"/>
        <w:jc w:val="right"/>
        <w:rPr>
          <w:b/>
          <w:bCs/>
          <w:kern w:val="2"/>
          <w:sz w:val="24"/>
          <w:szCs w:val="24"/>
          <w:lang w:eastAsia="ar-SA"/>
        </w:rPr>
      </w:pPr>
    </w:p>
    <w:p w:rsidR="0037007B" w:rsidRDefault="0037007B" w:rsidP="00894182">
      <w:pPr>
        <w:widowControl/>
        <w:shd w:val="clear" w:color="auto" w:fill="FFFFFF"/>
        <w:snapToGrid/>
        <w:spacing w:line="100" w:lineRule="atLeast"/>
        <w:ind w:firstLine="0"/>
        <w:jc w:val="center"/>
        <w:rPr>
          <w:b/>
          <w:bCs/>
          <w:kern w:val="2"/>
          <w:sz w:val="24"/>
          <w:szCs w:val="24"/>
          <w:lang w:eastAsia="ar-SA"/>
        </w:rPr>
      </w:pPr>
      <w:r>
        <w:rPr>
          <w:b/>
          <w:bCs/>
          <w:kern w:val="2"/>
          <w:sz w:val="24"/>
          <w:szCs w:val="24"/>
          <w:lang w:eastAsia="ar-SA"/>
        </w:rPr>
        <w:t xml:space="preserve">КВАЛІФІКАЦІЙНІ КРИТЕРІЇ ТА ПЕРЕЛІК ДОКУМЕНТІВ, ЯКІ ВИМАГАЮТЬСЯ ДЛЯ ПІДТВЕРДЖЕННЯ </w:t>
      </w:r>
    </w:p>
    <w:p w:rsidR="0037007B" w:rsidRDefault="0037007B" w:rsidP="00894182">
      <w:pPr>
        <w:widowControl/>
        <w:shd w:val="clear" w:color="auto" w:fill="FFFFFF"/>
        <w:snapToGrid/>
        <w:spacing w:line="100" w:lineRule="atLeast"/>
        <w:ind w:firstLine="0"/>
        <w:jc w:val="center"/>
        <w:rPr>
          <w:b/>
          <w:bCs/>
          <w:kern w:val="2"/>
          <w:sz w:val="24"/>
          <w:szCs w:val="24"/>
          <w:lang w:eastAsia="ar-SA"/>
        </w:rPr>
      </w:pPr>
      <w:r>
        <w:rPr>
          <w:b/>
          <w:bCs/>
          <w:kern w:val="2"/>
          <w:sz w:val="24"/>
          <w:szCs w:val="24"/>
          <w:lang w:eastAsia="ar-SA"/>
        </w:rPr>
        <w:t xml:space="preserve">ВІДПОВІДНОСТІ ТЕНДЕРНОЇ ПРОПОЗИЦІЇ УЧАСНИКА </w:t>
      </w:r>
    </w:p>
    <w:p w:rsidR="0037007B" w:rsidRDefault="0037007B" w:rsidP="00894182">
      <w:pPr>
        <w:widowControl/>
        <w:shd w:val="clear" w:color="auto" w:fill="FFFFFF"/>
        <w:snapToGrid/>
        <w:spacing w:line="100" w:lineRule="atLeast"/>
        <w:ind w:firstLine="0"/>
        <w:jc w:val="center"/>
        <w:rPr>
          <w:b/>
          <w:bCs/>
          <w:kern w:val="2"/>
          <w:sz w:val="24"/>
          <w:szCs w:val="24"/>
          <w:lang w:eastAsia="ar-SA"/>
        </w:rPr>
      </w:pPr>
      <w:r>
        <w:rPr>
          <w:b/>
          <w:bCs/>
          <w:kern w:val="2"/>
          <w:sz w:val="24"/>
          <w:szCs w:val="24"/>
          <w:lang w:eastAsia="ar-SA"/>
        </w:rPr>
        <w:t>КВАЛІФІКАЦІЙНИМ КРИТЕРІЯМ</w:t>
      </w:r>
    </w:p>
    <w:p w:rsidR="0037007B" w:rsidRDefault="0037007B" w:rsidP="00894182">
      <w:pPr>
        <w:widowControl/>
        <w:shd w:val="clear" w:color="auto" w:fill="FFFFFF"/>
        <w:snapToGrid/>
        <w:spacing w:line="100" w:lineRule="atLeast"/>
        <w:ind w:firstLine="0"/>
        <w:jc w:val="center"/>
        <w:rPr>
          <w:b/>
          <w:bCs/>
          <w:kern w:val="2"/>
          <w:sz w:val="24"/>
          <w:szCs w:val="24"/>
          <w:lang w:eastAsia="ar-SA"/>
        </w:rPr>
      </w:pPr>
      <w:r>
        <w:rPr>
          <w:b/>
          <w:i/>
          <w:color w:val="000000"/>
          <w:sz w:val="24"/>
          <w:szCs w:val="24"/>
        </w:rPr>
        <w:t>визначеним у статті 16 Закону “Про публічні закупівлі” та статі 45 Особливостей:</w:t>
      </w:r>
    </w:p>
    <w:p w:rsidR="0037007B" w:rsidRDefault="0037007B" w:rsidP="00894182">
      <w:pPr>
        <w:widowControl/>
        <w:tabs>
          <w:tab w:val="left" w:pos="1875"/>
        </w:tabs>
        <w:snapToGrid/>
        <w:spacing w:line="100" w:lineRule="atLeast"/>
        <w:ind w:right="22" w:firstLine="0"/>
        <w:jc w:val="both"/>
        <w:rPr>
          <w:i/>
          <w:color w:val="000000"/>
          <w:sz w:val="16"/>
          <w:szCs w:val="16"/>
        </w:rPr>
      </w:pPr>
      <w:r>
        <w:rPr>
          <w:kern w:val="2"/>
          <w:sz w:val="24"/>
          <w:szCs w:val="24"/>
          <w:lang w:eastAsia="ar-SA"/>
        </w:rPr>
        <w:tab/>
      </w:r>
      <w:r>
        <w:rPr>
          <w:i/>
          <w:color w:val="000000"/>
          <w:sz w:val="16"/>
          <w:szCs w:val="16"/>
        </w:rPr>
        <w:t> </w:t>
      </w:r>
    </w:p>
    <w:p w:rsidR="0037007B" w:rsidRDefault="0037007B" w:rsidP="00894182">
      <w:pPr>
        <w:shd w:val="clear" w:color="auto" w:fill="FFFFFF"/>
        <w:spacing w:line="240" w:lineRule="auto"/>
        <w:ind w:firstLine="709"/>
        <w:jc w:val="both"/>
        <w:rPr>
          <w:i/>
          <w:color w:val="000000"/>
          <w:sz w:val="24"/>
          <w:szCs w:val="24"/>
        </w:rPr>
      </w:pPr>
      <w:r>
        <w:rPr>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7007B" w:rsidRDefault="0037007B" w:rsidP="00894182">
      <w:pPr>
        <w:pStyle w:val="ListParagraph"/>
        <w:numPr>
          <w:ilvl w:val="0"/>
          <w:numId w:val="7"/>
        </w:numPr>
        <w:ind w:left="0" w:firstLine="709"/>
        <w:jc w:val="both"/>
        <w:rPr>
          <w:color w:val="000000"/>
        </w:rPr>
      </w:pPr>
      <w:r>
        <w:rPr>
          <w:color w:val="000000"/>
        </w:rPr>
        <w:t>Учасники повинні відповідати кваліфікаційним (кваліфікаційному) критеріям, визначеним ст. 16 Закону та 45 Особливостей. 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pPr w:leftFromText="180" w:rightFromText="180" w:vertAnchor="text" w:horzAnchor="margin" w:tblpY="17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7696"/>
      </w:tblGrid>
      <w:tr w:rsidR="0037007B" w:rsidTr="00894182">
        <w:trPr>
          <w:trHeight w:val="560"/>
        </w:trPr>
        <w:tc>
          <w:tcPr>
            <w:tcW w:w="2622" w:type="dxa"/>
          </w:tcPr>
          <w:p w:rsidR="0037007B" w:rsidRDefault="0037007B">
            <w:pPr>
              <w:widowControl/>
              <w:suppressAutoHyphens w:val="0"/>
              <w:snapToGrid/>
              <w:spacing w:line="240" w:lineRule="auto"/>
              <w:ind w:firstLine="0"/>
              <w:jc w:val="center"/>
              <w:rPr>
                <w:b/>
                <w:i/>
                <w:color w:val="000000"/>
                <w:sz w:val="24"/>
                <w:szCs w:val="24"/>
              </w:rPr>
            </w:pPr>
            <w:r>
              <w:rPr>
                <w:b/>
                <w:i/>
                <w:color w:val="000000"/>
                <w:sz w:val="24"/>
                <w:szCs w:val="24"/>
              </w:rPr>
              <w:t>Кваліфікаційний критерій</w:t>
            </w:r>
          </w:p>
        </w:tc>
        <w:tc>
          <w:tcPr>
            <w:tcW w:w="7692" w:type="dxa"/>
          </w:tcPr>
          <w:p w:rsidR="0037007B" w:rsidRDefault="0037007B">
            <w:pPr>
              <w:widowControl/>
              <w:suppressAutoHyphens w:val="0"/>
              <w:snapToGrid/>
              <w:spacing w:line="240" w:lineRule="auto"/>
              <w:ind w:firstLine="0"/>
              <w:jc w:val="center"/>
              <w:rPr>
                <w:b/>
                <w:i/>
                <w:color w:val="000000"/>
                <w:sz w:val="24"/>
                <w:szCs w:val="24"/>
              </w:rPr>
            </w:pPr>
            <w:r>
              <w:rPr>
                <w:b/>
                <w:i/>
                <w:color w:val="000000"/>
                <w:sz w:val="24"/>
                <w:szCs w:val="24"/>
              </w:rPr>
              <w:t>Документальне  підтвердження</w:t>
            </w:r>
          </w:p>
        </w:tc>
      </w:tr>
      <w:tr w:rsidR="0037007B" w:rsidTr="00894182">
        <w:trPr>
          <w:trHeight w:val="560"/>
        </w:trPr>
        <w:tc>
          <w:tcPr>
            <w:tcW w:w="2622" w:type="dxa"/>
          </w:tcPr>
          <w:p w:rsidR="0037007B" w:rsidRDefault="0037007B">
            <w:pPr>
              <w:spacing w:line="240" w:lineRule="auto"/>
              <w:ind w:firstLine="0"/>
              <w:jc w:val="both"/>
              <w:rPr>
                <w:i/>
                <w:color w:val="000000"/>
                <w:szCs w:val="22"/>
              </w:rPr>
            </w:pPr>
            <w:r>
              <w:rPr>
                <w:b/>
                <w:color w:val="000000"/>
                <w:szCs w:val="22"/>
              </w:rPr>
              <w:t>1. Наявність документально підтвердженого досвіду виконання аналогічного (аналогічних) за предметом закупівлі договору (договорів).</w:t>
            </w:r>
          </w:p>
        </w:tc>
        <w:tc>
          <w:tcPr>
            <w:tcW w:w="7692" w:type="dxa"/>
          </w:tcPr>
          <w:p w:rsidR="0037007B" w:rsidRDefault="0037007B">
            <w:pPr>
              <w:autoSpaceDE w:val="0"/>
              <w:snapToGrid/>
              <w:spacing w:line="240" w:lineRule="auto"/>
              <w:ind w:right="175" w:firstLine="259"/>
              <w:jc w:val="both"/>
              <w:rPr>
                <w:szCs w:val="22"/>
              </w:rPr>
            </w:pPr>
            <w:r>
              <w:rPr>
                <w:szCs w:val="22"/>
              </w:rPr>
              <w:t>1.1. Довідка в довільній формі, з інформацією про виконання аналогічного (их)  за предметом закупівлі договору</w:t>
            </w:r>
            <w:r>
              <w:rPr>
                <w:color w:val="000000"/>
                <w:szCs w:val="22"/>
              </w:rPr>
              <w:t>(ів).</w:t>
            </w:r>
          </w:p>
          <w:p w:rsidR="0037007B" w:rsidRDefault="0037007B">
            <w:pPr>
              <w:shd w:val="clear" w:color="auto" w:fill="FFFFFF"/>
              <w:spacing w:line="240" w:lineRule="auto"/>
              <w:ind w:right="175" w:firstLine="259"/>
              <w:jc w:val="both"/>
              <w:rPr>
                <w:b/>
                <w:i/>
                <w:color w:val="000000"/>
              </w:rPr>
            </w:pPr>
            <w:r>
              <w:rPr>
                <w:i/>
                <w:color w:val="000000"/>
                <w:szCs w:val="22"/>
              </w:rPr>
              <w:t xml:space="preserve">Аналогічним вважається договір, </w:t>
            </w:r>
            <w:r>
              <w:rPr>
                <w:b/>
                <w:i/>
                <w:lang w:eastAsia="ru-RU"/>
              </w:rPr>
              <w:t xml:space="preserve">який відповідає предмету закупівлі, а саме: папір офісний, або папір для друку, </w:t>
            </w:r>
            <w:bookmarkStart w:id="0" w:name="_GoBack"/>
            <w:bookmarkEnd w:id="0"/>
            <w:r>
              <w:rPr>
                <w:b/>
                <w:i/>
                <w:lang w:eastAsia="ru-RU"/>
              </w:rPr>
              <w:t>за</w:t>
            </w:r>
            <w:r w:rsidRPr="00B174A4">
              <w:rPr>
                <w:b/>
              </w:rPr>
              <w:t xml:space="preserve"> </w:t>
            </w:r>
            <w:r>
              <w:rPr>
                <w:b/>
              </w:rPr>
              <w:t xml:space="preserve">кодом </w:t>
            </w:r>
            <w:r w:rsidRPr="00B174A4">
              <w:rPr>
                <w:b/>
              </w:rPr>
              <w:t>ДК 021:</w:t>
            </w:r>
            <w:r>
              <w:rPr>
                <w:b/>
              </w:rPr>
              <w:t>2015</w:t>
            </w:r>
            <w:r w:rsidRPr="00F80B13">
              <w:rPr>
                <w:b/>
              </w:rPr>
              <w:t xml:space="preserve">: </w:t>
            </w:r>
            <w:r w:rsidRPr="00F80B13">
              <w:rPr>
                <w:b/>
                <w:color w:val="000000"/>
                <w:shd w:val="clear" w:color="auto" w:fill="FFFFFF"/>
                <w:lang w:eastAsia="uk-UA"/>
              </w:rPr>
              <w:t xml:space="preserve">30190000-7  </w:t>
            </w:r>
            <w:r>
              <w:rPr>
                <w:b/>
                <w:color w:val="000000"/>
                <w:shd w:val="clear" w:color="auto" w:fill="FFFFFF"/>
                <w:lang w:eastAsia="uk-UA"/>
              </w:rPr>
              <w:t>- «</w:t>
            </w:r>
            <w:r w:rsidRPr="00F80B13">
              <w:rPr>
                <w:b/>
                <w:color w:val="000000"/>
                <w:shd w:val="clear" w:color="auto" w:fill="FFFFFF"/>
                <w:lang w:eastAsia="uk-UA"/>
              </w:rPr>
              <w:t>Офісне устаткування та приладдя різне</w:t>
            </w:r>
            <w:r>
              <w:rPr>
                <w:b/>
                <w:color w:val="000000"/>
                <w:shd w:val="clear" w:color="auto" w:fill="FFFFFF"/>
                <w:lang w:eastAsia="uk-UA"/>
              </w:rPr>
              <w:t>».</w:t>
            </w:r>
          </w:p>
          <w:p w:rsidR="0037007B" w:rsidRDefault="0037007B">
            <w:pPr>
              <w:shd w:val="clear" w:color="auto" w:fill="FFFFFF"/>
              <w:spacing w:line="240" w:lineRule="auto"/>
              <w:ind w:right="175" w:firstLine="259"/>
              <w:jc w:val="both"/>
              <w:rPr>
                <w:b/>
                <w:i/>
                <w:color w:val="000000"/>
              </w:rPr>
            </w:pPr>
          </w:p>
          <w:p w:rsidR="0037007B" w:rsidRDefault="0037007B">
            <w:pPr>
              <w:spacing w:line="240" w:lineRule="auto"/>
              <w:ind w:firstLine="341"/>
              <w:jc w:val="both"/>
              <w:rPr>
                <w:szCs w:val="22"/>
              </w:rPr>
            </w:pPr>
            <w:r>
              <w:rPr>
                <w:szCs w:val="22"/>
              </w:rPr>
              <w:t xml:space="preserve">Надати не менше однієї копії договору, зазначеного у довідці у повному обсязі (з усіма укладеними додатковими угодами, додатками, Актами та специфікаціями до договору) та </w:t>
            </w:r>
            <w:r>
              <w:rPr>
                <w:sz w:val="24"/>
                <w:szCs w:val="24"/>
                <w:lang w:val="ru-RU" w:eastAsia="ar-SA"/>
              </w:rPr>
              <w:t>скан-копію оригінал</w:t>
            </w:r>
            <w:r>
              <w:rPr>
                <w:sz w:val="24"/>
                <w:szCs w:val="24"/>
                <w:lang w:eastAsia="ar-SA"/>
              </w:rPr>
              <w:t>у</w:t>
            </w:r>
            <w:r>
              <w:rPr>
                <w:sz w:val="24"/>
                <w:szCs w:val="24"/>
                <w:lang w:val="ru-RU" w:eastAsia="ar-SA"/>
              </w:rPr>
              <w:t xml:space="preserve"> Лист</w:t>
            </w:r>
            <w:r>
              <w:rPr>
                <w:sz w:val="24"/>
                <w:szCs w:val="24"/>
                <w:lang w:eastAsia="ar-SA"/>
              </w:rPr>
              <w:t>а</w:t>
            </w:r>
            <w:r>
              <w:rPr>
                <w:sz w:val="24"/>
                <w:szCs w:val="24"/>
                <w:lang w:val="ru-RU" w:eastAsia="ar-SA"/>
              </w:rPr>
              <w:t>-відгук</w:t>
            </w:r>
            <w:r>
              <w:rPr>
                <w:sz w:val="24"/>
                <w:szCs w:val="24"/>
                <w:lang w:eastAsia="ar-SA"/>
              </w:rPr>
              <w:t>а</w:t>
            </w:r>
            <w:r>
              <w:rPr>
                <w:sz w:val="24"/>
                <w:szCs w:val="24"/>
                <w:lang w:val="ru-RU" w:eastAsia="ar-SA"/>
              </w:rPr>
              <w:t xml:space="preserve"> (від замовника на ц</w:t>
            </w:r>
            <w:r>
              <w:rPr>
                <w:sz w:val="24"/>
                <w:szCs w:val="24"/>
                <w:lang w:eastAsia="ar-SA"/>
              </w:rPr>
              <w:t xml:space="preserve">ей </w:t>
            </w:r>
            <w:r>
              <w:rPr>
                <w:sz w:val="24"/>
                <w:szCs w:val="24"/>
                <w:lang w:val="ru-RU" w:eastAsia="ar-SA"/>
              </w:rPr>
              <w:t xml:space="preserve"> договір.</w:t>
            </w:r>
          </w:p>
        </w:tc>
      </w:tr>
    </w:tbl>
    <w:p w:rsidR="0037007B" w:rsidRDefault="0037007B" w:rsidP="00894182">
      <w:pPr>
        <w:shd w:val="clear" w:color="auto" w:fill="FFFFFF"/>
        <w:spacing w:line="240" w:lineRule="auto"/>
        <w:ind w:firstLine="709"/>
        <w:jc w:val="both"/>
        <w:rPr>
          <w:i/>
          <w:color w:val="000000"/>
          <w:sz w:val="24"/>
          <w:szCs w:val="24"/>
        </w:rPr>
      </w:pPr>
    </w:p>
    <w:p w:rsidR="0037007B" w:rsidRDefault="0037007B" w:rsidP="00894182">
      <w:pPr>
        <w:widowControl/>
        <w:shd w:val="clear" w:color="auto" w:fill="FFFFFF"/>
        <w:snapToGrid/>
        <w:spacing w:line="100" w:lineRule="atLeast"/>
        <w:ind w:firstLine="0"/>
        <w:jc w:val="center"/>
        <w:rPr>
          <w:b/>
          <w:bCs/>
          <w:kern w:val="2"/>
          <w:sz w:val="24"/>
          <w:szCs w:val="24"/>
          <w:lang w:eastAsia="ar-SA"/>
        </w:rPr>
      </w:pPr>
      <w:r>
        <w:rPr>
          <w:b/>
          <w:bCs/>
          <w:kern w:val="2"/>
          <w:sz w:val="24"/>
          <w:szCs w:val="24"/>
          <w:lang w:eastAsia="ar-SA"/>
        </w:rPr>
        <w:t xml:space="preserve">ПЕРЕЛІК ДОКУМЕНТІВ, ЯКІ ПОВИНЕН НАДАТИ УЧАСНИК </w:t>
      </w:r>
      <w:r>
        <w:rPr>
          <w:b/>
          <w:bCs/>
          <w:kern w:val="2"/>
          <w:sz w:val="24"/>
          <w:szCs w:val="24"/>
          <w:lang w:val="ru-RU" w:eastAsia="ar-SA"/>
        </w:rPr>
        <w:t>/</w:t>
      </w:r>
      <w:r>
        <w:rPr>
          <w:b/>
          <w:bCs/>
          <w:kern w:val="2"/>
          <w:sz w:val="24"/>
          <w:szCs w:val="24"/>
          <w:lang w:eastAsia="ar-SA"/>
        </w:rPr>
        <w:t xml:space="preserve"> ПЕРЕМОЖЕЦЬ</w:t>
      </w:r>
    </w:p>
    <w:p w:rsidR="0037007B" w:rsidRDefault="0037007B" w:rsidP="00894182">
      <w:pPr>
        <w:widowControl/>
        <w:shd w:val="clear" w:color="auto" w:fill="FFFFFF"/>
        <w:snapToGrid/>
        <w:spacing w:line="100" w:lineRule="atLeast"/>
        <w:ind w:firstLine="0"/>
        <w:jc w:val="center"/>
        <w:rPr>
          <w:b/>
          <w:kern w:val="2"/>
          <w:sz w:val="24"/>
          <w:szCs w:val="24"/>
          <w:lang w:eastAsia="ar-SA"/>
        </w:rPr>
      </w:pPr>
      <w:r>
        <w:rPr>
          <w:b/>
          <w:bCs/>
          <w:kern w:val="2"/>
          <w:sz w:val="24"/>
          <w:szCs w:val="24"/>
          <w:lang w:eastAsia="ar-SA"/>
        </w:rPr>
        <w:t>ЩОДО</w:t>
      </w:r>
      <w:r>
        <w:rPr>
          <w:b/>
          <w:kern w:val="2"/>
          <w:sz w:val="24"/>
          <w:szCs w:val="24"/>
          <w:lang w:eastAsia="ar-SA"/>
        </w:rPr>
        <w:t xml:space="preserve"> ПІДТВЕРДЖЕННЯ ІНФОРМАЦІЇ ПРО ВІДСУТНІСТЬ </w:t>
      </w:r>
    </w:p>
    <w:p w:rsidR="0037007B" w:rsidRDefault="0037007B" w:rsidP="00894182">
      <w:pPr>
        <w:widowControl/>
        <w:shd w:val="clear" w:color="auto" w:fill="FFFFFF"/>
        <w:snapToGrid/>
        <w:spacing w:line="100" w:lineRule="atLeast"/>
        <w:ind w:firstLine="0"/>
        <w:jc w:val="center"/>
        <w:rPr>
          <w:b/>
          <w:bCs/>
          <w:kern w:val="2"/>
          <w:sz w:val="24"/>
          <w:szCs w:val="24"/>
          <w:lang w:eastAsia="ar-SA"/>
        </w:rPr>
      </w:pPr>
      <w:r>
        <w:rPr>
          <w:b/>
          <w:kern w:val="2"/>
          <w:sz w:val="24"/>
          <w:szCs w:val="24"/>
          <w:lang w:eastAsia="ar-SA"/>
        </w:rPr>
        <w:t>ПІДСТАВ,</w:t>
      </w:r>
      <w:r>
        <w:rPr>
          <w:b/>
          <w:bCs/>
          <w:kern w:val="2"/>
          <w:sz w:val="24"/>
          <w:szCs w:val="24"/>
          <w:lang w:eastAsia="ar-SA"/>
        </w:rPr>
        <w:t xml:space="preserve"> визначеним у пункті 44 Особливостей</w:t>
      </w:r>
    </w:p>
    <w:p w:rsidR="0037007B" w:rsidRDefault="0037007B" w:rsidP="00894182">
      <w:pPr>
        <w:widowControl/>
        <w:shd w:val="clear" w:color="auto" w:fill="FFFFFF"/>
        <w:snapToGrid/>
        <w:spacing w:line="100" w:lineRule="atLeast"/>
        <w:ind w:firstLine="0"/>
        <w:jc w:val="center"/>
        <w:rPr>
          <w:b/>
          <w:bCs/>
          <w:kern w:val="2"/>
          <w:sz w:val="24"/>
          <w:szCs w:val="24"/>
          <w:lang w:eastAsia="ar-SA"/>
        </w:rPr>
      </w:pPr>
    </w:p>
    <w:p w:rsidR="0037007B" w:rsidRDefault="0037007B" w:rsidP="00894182">
      <w:pPr>
        <w:pStyle w:val="ListParagraph"/>
        <w:numPr>
          <w:ilvl w:val="0"/>
          <w:numId w:val="8"/>
        </w:numPr>
        <w:shd w:val="clear" w:color="auto" w:fill="FFFFFF"/>
        <w:tabs>
          <w:tab w:val="num" w:pos="142"/>
        </w:tabs>
        <w:spacing w:before="120" w:after="120"/>
        <w:ind w:left="142" w:firstLine="425"/>
        <w:jc w:val="both"/>
        <w:rPr>
          <w:color w:val="000000"/>
          <w:sz w:val="22"/>
          <w:szCs w:val="22"/>
        </w:rPr>
      </w:pPr>
      <w:r>
        <w:rPr>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7007B" w:rsidRDefault="0037007B" w:rsidP="00894182">
      <w:pPr>
        <w:shd w:val="clear" w:color="auto" w:fill="FFFFFF"/>
        <w:tabs>
          <w:tab w:val="num" w:pos="142"/>
        </w:tabs>
        <w:spacing w:before="120" w:after="120" w:line="240" w:lineRule="auto"/>
        <w:ind w:left="142" w:firstLine="425"/>
        <w:jc w:val="both"/>
        <w:rPr>
          <w:color w:val="000000"/>
          <w:szCs w:val="22"/>
        </w:rPr>
      </w:pPr>
      <w:r>
        <w:rPr>
          <w:color w:val="000000"/>
          <w:szCs w:val="22"/>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007B" w:rsidRDefault="0037007B" w:rsidP="00894182">
      <w:pPr>
        <w:shd w:val="clear" w:color="auto" w:fill="FFFFFF"/>
        <w:spacing w:line="240" w:lineRule="auto"/>
        <w:ind w:firstLine="709"/>
        <w:jc w:val="both"/>
        <w:rPr>
          <w:i/>
          <w:color w:val="000000"/>
          <w:szCs w:val="22"/>
        </w:rPr>
      </w:pPr>
      <w:r>
        <w:rPr>
          <w:color w:val="000000"/>
          <w:szCs w:val="22"/>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44 Особливостей. </w:t>
      </w:r>
      <w:r>
        <w:rPr>
          <w:i/>
          <w:color w:val="000000"/>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007B" w:rsidRDefault="0037007B" w:rsidP="00894182">
      <w:pPr>
        <w:shd w:val="clear" w:color="auto" w:fill="FFFFFF"/>
        <w:tabs>
          <w:tab w:val="num" w:pos="142"/>
        </w:tabs>
        <w:spacing w:before="120" w:after="120" w:line="240" w:lineRule="auto"/>
        <w:ind w:left="142" w:firstLine="425"/>
        <w:jc w:val="both"/>
        <w:rPr>
          <w:color w:val="000000"/>
          <w:szCs w:val="22"/>
        </w:rPr>
      </w:pPr>
      <w:r>
        <w:rPr>
          <w:color w:val="000000"/>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7007B" w:rsidRDefault="0037007B" w:rsidP="007763CD">
      <w:pPr>
        <w:widowControl/>
        <w:suppressAutoHyphens w:val="0"/>
        <w:snapToGrid/>
        <w:spacing w:beforeLines="60" w:afterLines="60" w:line="240" w:lineRule="auto"/>
        <w:ind w:firstLine="567"/>
        <w:jc w:val="both"/>
        <w:rPr>
          <w:b/>
          <w:szCs w:val="22"/>
          <w:lang w:eastAsia="uk-UA"/>
        </w:rPr>
      </w:pPr>
      <w:r>
        <w:rPr>
          <w:b/>
          <w:szCs w:val="22"/>
          <w:lang w:eastAsia="uk-UA"/>
        </w:rPr>
        <w:t xml:space="preserve">3. </w:t>
      </w:r>
      <w:r>
        <w:rPr>
          <w:b/>
          <w:color w:val="000000"/>
          <w:szCs w:val="22"/>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пункту 44 Особливостей:</w:t>
      </w:r>
    </w:p>
    <w:p w:rsidR="0037007B" w:rsidRDefault="0037007B" w:rsidP="007763CD">
      <w:pPr>
        <w:widowControl/>
        <w:suppressAutoHyphens w:val="0"/>
        <w:snapToGrid/>
        <w:spacing w:beforeLines="60" w:afterLines="60" w:line="240" w:lineRule="auto"/>
        <w:ind w:firstLine="567"/>
        <w:jc w:val="both"/>
        <w:rPr>
          <w:szCs w:val="22"/>
          <w:lang w:eastAsia="uk-UA"/>
        </w:rPr>
      </w:pPr>
      <w:r>
        <w:rPr>
          <w:szCs w:val="22"/>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7007B" w:rsidRDefault="0037007B" w:rsidP="00894182">
      <w:pPr>
        <w:shd w:val="clear" w:color="auto" w:fill="FFFFFF"/>
        <w:spacing w:before="60" w:after="60" w:line="240" w:lineRule="auto"/>
        <w:ind w:firstLine="567"/>
        <w:jc w:val="both"/>
        <w:rPr>
          <w:color w:val="000000"/>
          <w:szCs w:val="22"/>
        </w:rPr>
      </w:pPr>
      <w:r>
        <w:rPr>
          <w:color w:val="000000"/>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007B" w:rsidRDefault="0037007B" w:rsidP="00894182">
      <w:pPr>
        <w:widowControl/>
        <w:suppressAutoHyphens w:val="0"/>
        <w:snapToGrid/>
        <w:spacing w:line="240" w:lineRule="auto"/>
        <w:ind w:firstLine="567"/>
        <w:rPr>
          <w:b/>
          <w:color w:val="000000"/>
          <w:sz w:val="20"/>
          <w:lang w:eastAsia="uk-UA"/>
        </w:rPr>
      </w:pPr>
      <w:r>
        <w:rPr>
          <w:b/>
          <w:color w:val="000000"/>
          <w:sz w:val="20"/>
          <w:lang w:eastAsia="uk-UA"/>
        </w:rPr>
        <w:t>3.1. Документи, які надаються ПЕРЕМОЖЦЕМ (юридичною особою):</w:t>
      </w:r>
    </w:p>
    <w:p w:rsidR="0037007B" w:rsidRDefault="0037007B" w:rsidP="00894182">
      <w:pPr>
        <w:widowControl/>
        <w:suppressAutoHyphens w:val="0"/>
        <w:snapToGrid/>
        <w:spacing w:line="240" w:lineRule="auto"/>
        <w:ind w:firstLine="567"/>
        <w:rPr>
          <w:b/>
          <w:color w:val="000000"/>
          <w:sz w:val="20"/>
          <w:lang w:eastAsia="uk-UA"/>
        </w:rPr>
      </w:pPr>
    </w:p>
    <w:tbl>
      <w:tblPr>
        <w:tblW w:w="10635" w:type="dxa"/>
        <w:tblInd w:w="100" w:type="dxa"/>
        <w:tblLayout w:type="fixed"/>
        <w:tblLook w:val="00A0"/>
      </w:tblPr>
      <w:tblGrid>
        <w:gridCol w:w="710"/>
        <w:gridCol w:w="4821"/>
        <w:gridCol w:w="5104"/>
      </w:tblGrid>
      <w:tr w:rsidR="0037007B" w:rsidTr="00894182">
        <w:trPr>
          <w:trHeight w:val="7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center"/>
              <w:rPr>
                <w:sz w:val="20"/>
                <w:lang w:eastAsia="uk-UA"/>
              </w:rPr>
            </w:pPr>
            <w:r>
              <w:rPr>
                <w:b/>
                <w:color w:val="000000"/>
                <w:sz w:val="20"/>
                <w:lang w:eastAsia="uk-UA"/>
              </w:rPr>
              <w:t>№</w:t>
            </w:r>
          </w:p>
          <w:p w:rsidR="0037007B" w:rsidRDefault="0037007B">
            <w:pPr>
              <w:widowControl/>
              <w:suppressAutoHyphens w:val="0"/>
              <w:snapToGrid/>
              <w:spacing w:line="240" w:lineRule="auto"/>
              <w:ind w:firstLine="0"/>
              <w:jc w:val="center"/>
              <w:rPr>
                <w:sz w:val="20"/>
                <w:lang w:eastAsia="uk-UA"/>
              </w:rPr>
            </w:pPr>
            <w:r>
              <w:rPr>
                <w:b/>
                <w:sz w:val="20"/>
                <w:lang w:eastAsia="uk-UA"/>
              </w:rPr>
              <w:t>з</w:t>
            </w:r>
            <w:r>
              <w:rPr>
                <w:b/>
                <w:color w:val="000000"/>
                <w:sz w:val="20"/>
                <w:lang w:eastAsia="uk-UA"/>
              </w:rPr>
              <w:t>/п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sz w:val="20"/>
                <w:lang w:eastAsia="uk-UA"/>
              </w:rPr>
            </w:pPr>
            <w:r>
              <w:rPr>
                <w:b/>
                <w:color w:val="000000"/>
                <w:sz w:val="20"/>
                <w:lang w:eastAsia="uk-UA"/>
              </w:rPr>
              <w:t>Вимоги пункту 44 Особливостей</w:t>
            </w:r>
            <w:r>
              <w:rPr>
                <w:sz w:val="20"/>
                <w:lang w:eastAsia="uk-UA"/>
              </w:rPr>
              <w:t xml:space="preserve">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sz w:val="20"/>
                <w:lang w:eastAsia="uk-UA"/>
              </w:rPr>
            </w:pPr>
            <w:r>
              <w:rPr>
                <w:b/>
                <w:color w:val="000000"/>
                <w:sz w:val="20"/>
                <w:lang w:eastAsia="uk-UA"/>
              </w:rPr>
              <w:t>Переможець торгів на виконання вимог пункту 44 Особливостей (підтвердження відсутності підстав) повинен надати таку інформацію:</w:t>
            </w:r>
          </w:p>
        </w:tc>
      </w:tr>
      <w:tr w:rsidR="0037007B" w:rsidRPr="00894182" w:rsidTr="00894182">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tabs>
                <w:tab w:val="left" w:pos="184"/>
                <w:tab w:val="left" w:pos="467"/>
              </w:tabs>
              <w:ind w:firstLine="0"/>
              <w:jc w:val="center"/>
              <w:rPr>
                <w:sz w:val="20"/>
                <w:lang w:eastAsia="uk-UA"/>
              </w:rPr>
            </w:pPr>
            <w:r>
              <w:rPr>
                <w:sz w:val="20"/>
                <w:lang w:eastAsia="uk-UA"/>
              </w:rPr>
              <w:t>1.</w:t>
            </w:r>
          </w:p>
          <w:p w:rsidR="0037007B" w:rsidRDefault="0037007B">
            <w:pPr>
              <w:tabs>
                <w:tab w:val="left" w:pos="184"/>
              </w:tabs>
              <w:ind w:firstLine="0"/>
              <w:rPr>
                <w:sz w:val="20"/>
                <w:lang w:eastAsia="uk-UA"/>
              </w:rPr>
            </w:pP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shd w:val="clear" w:color="auto" w:fill="FFFFFF"/>
              <w:spacing w:line="240" w:lineRule="auto"/>
              <w:ind w:firstLine="326"/>
              <w:jc w:val="both"/>
              <w:rPr>
                <w:color w:val="000000"/>
                <w:sz w:val="20"/>
              </w:rPr>
            </w:pPr>
            <w:r>
              <w:rPr>
                <w:color w:val="000000"/>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007B" w:rsidRDefault="0037007B">
            <w:pPr>
              <w:shd w:val="clear" w:color="auto" w:fill="FFFFFF"/>
              <w:spacing w:line="240" w:lineRule="auto"/>
              <w:ind w:firstLine="326"/>
              <w:jc w:val="both"/>
              <w:rPr>
                <w:color w:val="000000"/>
                <w:sz w:val="20"/>
              </w:rPr>
            </w:pPr>
            <w:r>
              <w:rPr>
                <w:color w:val="000000"/>
                <w:sz w:val="20"/>
              </w:rPr>
              <w:t>(підпункт 3 пункт 44 Особливостей)</w:t>
            </w:r>
            <w:r>
              <w:rPr>
                <w:color w:val="000000"/>
                <w:sz w:val="20"/>
              </w:rPr>
              <w:tab/>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sz w:val="20"/>
                <w:lang w:eastAsia="uk-UA"/>
              </w:rPr>
            </w:pPr>
            <w:r>
              <w:rPr>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007B" w:rsidTr="00894182">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pStyle w:val="ListParagraph"/>
              <w:tabs>
                <w:tab w:val="left" w:pos="184"/>
                <w:tab w:val="left" w:pos="326"/>
              </w:tabs>
              <w:ind w:left="0"/>
              <w:jc w:val="center"/>
              <w:rPr>
                <w:b/>
                <w:color w:val="000000"/>
                <w:sz w:val="20"/>
                <w:lang w:eastAsia="uk-UA"/>
              </w:rPr>
            </w:pPr>
            <w:r>
              <w:rPr>
                <w:b/>
                <w:color w:val="000000"/>
                <w:sz w:val="20"/>
                <w:lang w:eastAsia="uk-UA"/>
              </w:rPr>
              <w:t>2</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shd w:val="clear" w:color="auto" w:fill="FFFFFF"/>
              <w:spacing w:line="240" w:lineRule="auto"/>
              <w:ind w:firstLine="326"/>
              <w:jc w:val="both"/>
              <w:rPr>
                <w:color w:val="000000"/>
                <w:sz w:val="20"/>
              </w:rPr>
            </w:pPr>
            <w:r>
              <w:rPr>
                <w:color w:val="000000"/>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007B" w:rsidRDefault="0037007B">
            <w:pPr>
              <w:shd w:val="clear" w:color="auto" w:fill="FFFFFF"/>
              <w:spacing w:line="240" w:lineRule="auto"/>
              <w:ind w:firstLine="326"/>
              <w:jc w:val="both"/>
              <w:rPr>
                <w:color w:val="000000"/>
                <w:sz w:val="20"/>
              </w:rPr>
            </w:pPr>
            <w:r>
              <w:rPr>
                <w:color w:val="000000"/>
                <w:sz w:val="20"/>
              </w:rPr>
              <w:t>(підпункт 6 пункт 44 Особливостей)</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color w:val="000000"/>
                <w:sz w:val="20"/>
              </w:rPr>
            </w:pPr>
            <w:r>
              <w:rPr>
                <w:color w:val="000000"/>
                <w:sz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37007B" w:rsidRDefault="0037007B">
            <w:pPr>
              <w:widowControl/>
              <w:suppressAutoHyphens w:val="0"/>
              <w:snapToGrid/>
              <w:spacing w:line="240" w:lineRule="auto"/>
              <w:ind w:firstLine="0"/>
              <w:jc w:val="both"/>
              <w:rPr>
                <w:color w:val="000000"/>
                <w:sz w:val="20"/>
              </w:rPr>
            </w:pPr>
            <w:r>
              <w:rPr>
                <w:color w:val="000000"/>
                <w:sz w:val="20"/>
              </w:rPr>
              <w:t>Документ повинен бути не більше тридцяти-денної давнини від дати подання документа.</w:t>
            </w:r>
          </w:p>
        </w:tc>
      </w:tr>
      <w:tr w:rsidR="0037007B" w:rsidTr="00894182">
        <w:trPr>
          <w:trHeight w:val="4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pStyle w:val="ListParagraph"/>
              <w:tabs>
                <w:tab w:val="left" w:pos="467"/>
              </w:tabs>
              <w:ind w:left="0"/>
              <w:jc w:val="center"/>
              <w:rPr>
                <w:b/>
                <w:color w:val="000000"/>
                <w:sz w:val="20"/>
                <w:lang w:eastAsia="uk-UA"/>
              </w:rPr>
            </w:pPr>
            <w:r>
              <w:rPr>
                <w:b/>
                <w:color w:val="000000"/>
                <w:sz w:val="20"/>
                <w:lang w:eastAsia="uk-UA"/>
              </w:rPr>
              <w:t>3.</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shd w:val="clear" w:color="auto" w:fill="FFFFFF"/>
              <w:spacing w:line="240" w:lineRule="auto"/>
              <w:ind w:firstLine="326"/>
              <w:jc w:val="both"/>
              <w:rPr>
                <w:color w:val="000000"/>
                <w:sz w:val="20"/>
              </w:rPr>
            </w:pPr>
            <w:r>
              <w:rPr>
                <w:color w:val="000000"/>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007B" w:rsidRDefault="0037007B">
            <w:pPr>
              <w:shd w:val="clear" w:color="auto" w:fill="FFFFFF"/>
              <w:spacing w:line="240" w:lineRule="auto"/>
              <w:ind w:firstLine="326"/>
              <w:jc w:val="both"/>
              <w:rPr>
                <w:color w:val="000000"/>
                <w:sz w:val="20"/>
              </w:rPr>
            </w:pPr>
            <w:r>
              <w:rPr>
                <w:color w:val="000000"/>
                <w:sz w:val="20"/>
              </w:rPr>
              <w:t>(підпункт 12 пункт 44 Особливостей)</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color w:val="000000"/>
                <w:sz w:val="20"/>
              </w:rPr>
            </w:pPr>
            <w:r>
              <w:rPr>
                <w:sz w:val="20"/>
              </w:rPr>
              <w:t>Довідка, складена учасником у довільній формі</w:t>
            </w:r>
          </w:p>
        </w:tc>
      </w:tr>
      <w:tr w:rsidR="0037007B" w:rsidRPr="00894182" w:rsidTr="00894182">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pStyle w:val="ListParagraph"/>
              <w:ind w:left="0"/>
              <w:rPr>
                <w:b/>
                <w:sz w:val="20"/>
                <w:lang w:eastAsia="uk-UA"/>
              </w:rPr>
            </w:pPr>
            <w:r>
              <w:rPr>
                <w:b/>
                <w:sz w:val="20"/>
                <w:lang w:eastAsia="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shd w:val="clear" w:color="auto" w:fill="FFFFFF"/>
              <w:spacing w:line="240" w:lineRule="auto"/>
              <w:ind w:firstLine="326"/>
              <w:jc w:val="both"/>
              <w:rPr>
                <w:color w:val="000000"/>
                <w:sz w:val="20"/>
              </w:rPr>
            </w:pPr>
            <w:r>
              <w:rPr>
                <w:color w:val="000000"/>
                <w:sz w:val="2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007B" w:rsidRDefault="0037007B">
            <w:pPr>
              <w:widowControl/>
              <w:suppressAutoHyphens w:val="0"/>
              <w:snapToGrid/>
              <w:spacing w:line="240" w:lineRule="auto"/>
              <w:ind w:firstLine="0"/>
              <w:jc w:val="both"/>
              <w:rPr>
                <w:sz w:val="20"/>
                <w:lang w:eastAsia="uk-UA"/>
              </w:rPr>
            </w:pPr>
            <w:r>
              <w:rPr>
                <w:color w:val="000000"/>
                <w:sz w:val="20"/>
              </w:rPr>
              <w:t>(абзац 14 пункт 44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sz w:val="20"/>
                <w:lang w:eastAsia="uk-UA"/>
              </w:rPr>
            </w:pPr>
            <w:r>
              <w:rPr>
                <w:color w:val="000000"/>
                <w:sz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7007B" w:rsidRDefault="0037007B" w:rsidP="00894182">
      <w:pPr>
        <w:widowControl/>
        <w:suppressAutoHyphens w:val="0"/>
        <w:snapToGrid/>
        <w:spacing w:before="240" w:line="240" w:lineRule="auto"/>
        <w:ind w:firstLine="0"/>
        <w:jc w:val="center"/>
        <w:rPr>
          <w:b/>
          <w:color w:val="000000"/>
          <w:sz w:val="20"/>
          <w:lang w:eastAsia="uk-UA"/>
        </w:rPr>
      </w:pPr>
      <w:r>
        <w:rPr>
          <w:b/>
          <w:color w:val="000000"/>
          <w:sz w:val="20"/>
          <w:lang w:eastAsia="uk-UA"/>
        </w:rPr>
        <w:t>3.2. Документи, які надаються ПЕРЕМОЖЦЕМ (фізичною особою чи фізичною особою</w:t>
      </w:r>
      <w:r>
        <w:rPr>
          <w:b/>
          <w:sz w:val="20"/>
          <w:lang w:eastAsia="uk-UA"/>
        </w:rPr>
        <w:t xml:space="preserve"> — </w:t>
      </w:r>
      <w:r>
        <w:rPr>
          <w:b/>
          <w:color w:val="000000"/>
          <w:sz w:val="20"/>
          <w:lang w:eastAsia="uk-UA"/>
        </w:rPr>
        <w:t>підприємцем):</w:t>
      </w:r>
    </w:p>
    <w:p w:rsidR="0037007B" w:rsidRDefault="0037007B" w:rsidP="00894182">
      <w:pPr>
        <w:widowControl/>
        <w:suppressAutoHyphens w:val="0"/>
        <w:snapToGrid/>
        <w:spacing w:before="240" w:line="240" w:lineRule="auto"/>
        <w:ind w:firstLine="0"/>
        <w:jc w:val="center"/>
        <w:rPr>
          <w:sz w:val="20"/>
          <w:lang w:eastAsia="uk-UA"/>
        </w:rPr>
      </w:pPr>
    </w:p>
    <w:tbl>
      <w:tblPr>
        <w:tblW w:w="10635" w:type="dxa"/>
        <w:tblInd w:w="100" w:type="dxa"/>
        <w:tblLayout w:type="fixed"/>
        <w:tblLook w:val="00A0"/>
      </w:tblPr>
      <w:tblGrid>
        <w:gridCol w:w="567"/>
        <w:gridCol w:w="4396"/>
        <w:gridCol w:w="5672"/>
      </w:tblGrid>
      <w:tr w:rsidR="0037007B" w:rsidTr="00894182">
        <w:trPr>
          <w:trHeight w:val="7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00" w:firstLine="0"/>
              <w:jc w:val="center"/>
              <w:rPr>
                <w:sz w:val="20"/>
                <w:lang w:eastAsia="uk-UA"/>
              </w:rPr>
            </w:pPr>
            <w:r>
              <w:rPr>
                <w:b/>
                <w:color w:val="000000"/>
                <w:sz w:val="20"/>
                <w:lang w:eastAsia="uk-UA"/>
              </w:rPr>
              <w:t>№</w:t>
            </w:r>
          </w:p>
          <w:p w:rsidR="0037007B" w:rsidRDefault="0037007B">
            <w:pPr>
              <w:widowControl/>
              <w:suppressAutoHyphens w:val="0"/>
              <w:snapToGrid/>
              <w:spacing w:line="240" w:lineRule="auto"/>
              <w:ind w:left="100" w:firstLine="0"/>
              <w:jc w:val="center"/>
              <w:rPr>
                <w:sz w:val="20"/>
                <w:lang w:eastAsia="uk-UA"/>
              </w:rPr>
            </w:pPr>
            <w:r>
              <w:rPr>
                <w:b/>
                <w:sz w:val="20"/>
                <w:lang w:eastAsia="uk-UA"/>
              </w:rPr>
              <w:t>з</w:t>
            </w:r>
            <w:r>
              <w:rPr>
                <w:b/>
                <w:color w:val="000000"/>
                <w:sz w:val="20"/>
                <w:lang w:eastAsia="uk-UA"/>
              </w:rPr>
              <w:t>/п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sz w:val="20"/>
                <w:lang w:eastAsia="uk-UA"/>
              </w:rPr>
            </w:pPr>
            <w:r>
              <w:rPr>
                <w:b/>
                <w:color w:val="000000"/>
                <w:sz w:val="20"/>
                <w:lang w:eastAsia="uk-UA"/>
              </w:rPr>
              <w:t>Вимоги пункту 44 Особливостей</w:t>
            </w:r>
            <w:r>
              <w:rPr>
                <w:sz w:val="20"/>
                <w:lang w:eastAsia="uk-UA"/>
              </w:rPr>
              <w:t xml:space="preserve">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sz w:val="20"/>
                <w:lang w:eastAsia="uk-UA"/>
              </w:rPr>
            </w:pPr>
            <w:r>
              <w:rPr>
                <w:b/>
                <w:color w:val="000000"/>
                <w:sz w:val="20"/>
                <w:lang w:eastAsia="uk-UA"/>
              </w:rPr>
              <w:t>Переможець торгів на виконання вимог пункту 44 Особливостей (підтвердження відсутності підстав) повинен надати таку інформацію:</w:t>
            </w:r>
          </w:p>
        </w:tc>
      </w:tr>
      <w:tr w:rsidR="0037007B" w:rsidRPr="00894182" w:rsidTr="00894182">
        <w:trPr>
          <w:trHeight w:val="80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00" w:firstLine="0"/>
              <w:jc w:val="center"/>
              <w:rPr>
                <w:sz w:val="20"/>
                <w:lang w:eastAsia="uk-UA"/>
              </w:rPr>
            </w:pPr>
            <w:r>
              <w:rPr>
                <w:b/>
                <w:color w:val="000000"/>
                <w:sz w:val="20"/>
                <w:lang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shd w:val="clear" w:color="auto" w:fill="FFFFFF"/>
              <w:spacing w:line="240" w:lineRule="auto"/>
              <w:ind w:firstLine="0"/>
              <w:jc w:val="both"/>
              <w:rPr>
                <w:color w:val="000000"/>
                <w:sz w:val="20"/>
              </w:rPr>
            </w:pPr>
            <w:r>
              <w:rPr>
                <w:color w:val="000000"/>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007B" w:rsidRDefault="0037007B">
            <w:pPr>
              <w:shd w:val="clear" w:color="auto" w:fill="FFFFFF"/>
              <w:spacing w:line="240" w:lineRule="auto"/>
              <w:ind w:firstLine="0"/>
              <w:jc w:val="both"/>
              <w:rPr>
                <w:color w:val="000000"/>
                <w:sz w:val="20"/>
              </w:rPr>
            </w:pPr>
            <w:r>
              <w:rPr>
                <w:color w:val="000000"/>
                <w:sz w:val="20"/>
              </w:rPr>
              <w:t>(підпункт 3 пункт 44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right="140" w:firstLine="0"/>
              <w:jc w:val="both"/>
              <w:rPr>
                <w:sz w:val="20"/>
                <w:lang w:eastAsia="uk-UA"/>
              </w:rPr>
            </w:pPr>
            <w:r>
              <w:rPr>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007B" w:rsidTr="00894182">
        <w:trPr>
          <w:trHeight w:val="9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00" w:firstLine="0"/>
              <w:jc w:val="center"/>
              <w:rPr>
                <w:sz w:val="20"/>
                <w:lang w:eastAsia="uk-UA"/>
              </w:rPr>
            </w:pPr>
            <w:r>
              <w:rPr>
                <w:b/>
                <w:color w:val="000000"/>
                <w:sz w:val="20"/>
                <w:lang w:eastAsia="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shd w:val="clear" w:color="auto" w:fill="FFFFFF"/>
              <w:spacing w:line="240" w:lineRule="auto"/>
              <w:ind w:firstLine="0"/>
              <w:jc w:val="both"/>
              <w:rPr>
                <w:color w:val="000000"/>
                <w:sz w:val="20"/>
              </w:rPr>
            </w:pPr>
            <w:r>
              <w:rPr>
                <w:color w:val="000000"/>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007B" w:rsidRDefault="0037007B">
            <w:pPr>
              <w:shd w:val="clear" w:color="auto" w:fill="FFFFFF"/>
              <w:spacing w:line="240" w:lineRule="auto"/>
              <w:ind w:firstLine="0"/>
              <w:jc w:val="both"/>
              <w:rPr>
                <w:sz w:val="20"/>
                <w:lang w:eastAsia="uk-UA"/>
              </w:rPr>
            </w:pPr>
            <w:r>
              <w:rPr>
                <w:color w:val="000000"/>
                <w:sz w:val="20"/>
              </w:rPr>
              <w:t>(підпункт 5 пункт 44 Особливостей)</w:t>
            </w: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color w:val="000000"/>
                <w:sz w:val="20"/>
              </w:rPr>
            </w:pPr>
            <w:r>
              <w:rPr>
                <w:color w:val="000000"/>
                <w:sz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7007B" w:rsidRDefault="0037007B">
            <w:pPr>
              <w:shd w:val="clear" w:color="auto" w:fill="FFFFFF"/>
              <w:spacing w:line="240" w:lineRule="auto"/>
              <w:ind w:firstLine="709"/>
              <w:jc w:val="both"/>
              <w:rPr>
                <w:color w:val="000000"/>
                <w:sz w:val="20"/>
              </w:rPr>
            </w:pPr>
            <w:r>
              <w:rPr>
                <w:color w:val="000000"/>
                <w:sz w:val="20"/>
              </w:rPr>
              <w:t xml:space="preserve">Документ повинен бути не більше тридцятиденної давнини від дати подання документа. </w:t>
            </w:r>
          </w:p>
        </w:tc>
      </w:tr>
      <w:tr w:rsidR="0037007B" w:rsidTr="00894182">
        <w:trPr>
          <w:trHeight w:val="73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00" w:firstLine="0"/>
              <w:jc w:val="center"/>
              <w:rPr>
                <w:b/>
                <w:color w:val="000000"/>
                <w:sz w:val="20"/>
                <w:lang w:eastAsia="uk-UA"/>
              </w:rPr>
            </w:pPr>
            <w:r>
              <w:rPr>
                <w:b/>
                <w:color w:val="000000"/>
                <w:sz w:val="20"/>
                <w:lang w:eastAsia="uk-UA"/>
              </w:rPr>
              <w:t>3</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shd w:val="clear" w:color="auto" w:fill="FFFFFF"/>
              <w:spacing w:line="240" w:lineRule="auto"/>
              <w:ind w:firstLine="0"/>
              <w:jc w:val="both"/>
              <w:rPr>
                <w:color w:val="000000"/>
                <w:sz w:val="20"/>
              </w:rPr>
            </w:pPr>
            <w:r>
              <w:rPr>
                <w:color w:val="000000"/>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007B" w:rsidRDefault="0037007B">
            <w:pPr>
              <w:shd w:val="clear" w:color="auto" w:fill="FFFFFF"/>
              <w:spacing w:line="240" w:lineRule="auto"/>
              <w:ind w:firstLine="0"/>
              <w:jc w:val="both"/>
              <w:rPr>
                <w:sz w:val="20"/>
                <w:lang w:eastAsia="uk-UA"/>
              </w:rPr>
            </w:pPr>
            <w:r>
              <w:rPr>
                <w:color w:val="000000"/>
                <w:sz w:val="20"/>
              </w:rPr>
              <w:t>(підпункт 12 пункт 44 Особливостей)</w:t>
            </w: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firstLine="0"/>
              <w:jc w:val="both"/>
              <w:rPr>
                <w:color w:val="000000"/>
                <w:sz w:val="20"/>
              </w:rPr>
            </w:pPr>
            <w:r>
              <w:rPr>
                <w:sz w:val="20"/>
              </w:rPr>
              <w:t>Довідка, складена учасником у довільній формі</w:t>
            </w:r>
          </w:p>
        </w:tc>
      </w:tr>
      <w:tr w:rsidR="0037007B" w:rsidRPr="00894182" w:rsidTr="00894182">
        <w:trPr>
          <w:trHeight w:val="455"/>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7007B" w:rsidRDefault="0037007B">
            <w:pPr>
              <w:widowControl/>
              <w:suppressAutoHyphens w:val="0"/>
              <w:snapToGrid/>
              <w:spacing w:line="240" w:lineRule="auto"/>
              <w:ind w:left="100" w:firstLine="0"/>
              <w:jc w:val="center"/>
              <w:rPr>
                <w:sz w:val="20"/>
                <w:lang w:eastAsia="uk-UA"/>
              </w:rPr>
            </w:pPr>
            <w:r>
              <w:rPr>
                <w:b/>
                <w:color w:val="000000"/>
                <w:sz w:val="20"/>
                <w:lang w:eastAsia="uk-UA"/>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007B" w:rsidRDefault="0037007B">
            <w:pPr>
              <w:shd w:val="clear" w:color="auto" w:fill="FFFFFF"/>
              <w:spacing w:line="240" w:lineRule="auto"/>
              <w:ind w:firstLine="0"/>
              <w:jc w:val="both"/>
              <w:rPr>
                <w:color w:val="000000"/>
                <w:sz w:val="20"/>
              </w:rPr>
            </w:pPr>
            <w:r>
              <w:rPr>
                <w:color w:val="000000"/>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007B" w:rsidRDefault="0037007B">
            <w:pPr>
              <w:shd w:val="clear" w:color="auto" w:fill="FFFFFF"/>
              <w:spacing w:line="240" w:lineRule="auto"/>
              <w:ind w:firstLine="709"/>
              <w:jc w:val="both"/>
              <w:rPr>
                <w:color w:val="000000"/>
                <w:sz w:val="20"/>
              </w:rPr>
            </w:pPr>
            <w:r>
              <w:rPr>
                <w:color w:val="000000"/>
                <w:sz w:val="20"/>
              </w:rPr>
              <w:t>(абзац 14 пункт 44 Особливостей)</w:t>
            </w: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007B" w:rsidRDefault="0037007B">
            <w:pPr>
              <w:spacing w:line="240" w:lineRule="auto"/>
              <w:ind w:firstLine="0"/>
              <w:jc w:val="both"/>
              <w:rPr>
                <w:sz w:val="20"/>
                <w:lang w:eastAsia="uk-UA"/>
              </w:rPr>
            </w:pPr>
            <w:r>
              <w:rPr>
                <w:color w:val="000000"/>
                <w:sz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7007B" w:rsidRDefault="0037007B" w:rsidP="00894182">
      <w:pPr>
        <w:widowControl/>
        <w:shd w:val="clear" w:color="auto" w:fill="FFFFFF"/>
        <w:suppressAutoHyphens w:val="0"/>
        <w:snapToGrid/>
        <w:spacing w:line="240" w:lineRule="auto"/>
        <w:ind w:firstLine="0"/>
        <w:rPr>
          <w:b/>
          <w:color w:val="000000"/>
          <w:sz w:val="20"/>
          <w:lang w:eastAsia="uk-UA"/>
        </w:rPr>
      </w:pPr>
      <w:r>
        <w:rPr>
          <w:b/>
          <w:color w:val="000000"/>
          <w:sz w:val="20"/>
          <w:lang w:eastAsia="uk-UA"/>
        </w:rPr>
        <w:t>4. Інша інформація встановлена відповідно до законодавства (для УЧАСНИКІВ - юридичних осіб, фізичних осіб та фізичних осіб-підприємців).</w:t>
      </w:r>
    </w:p>
    <w:p w:rsidR="0037007B" w:rsidRDefault="0037007B" w:rsidP="00894182">
      <w:pPr>
        <w:widowControl/>
        <w:shd w:val="clear" w:color="auto" w:fill="FFFFFF"/>
        <w:suppressAutoHyphens w:val="0"/>
        <w:snapToGrid/>
        <w:spacing w:line="240" w:lineRule="auto"/>
        <w:ind w:firstLine="0"/>
        <w:rPr>
          <w:sz w:val="20"/>
          <w:lang w:eastAsia="uk-UA"/>
        </w:rPr>
      </w:pPr>
    </w:p>
    <w:tbl>
      <w:tblPr>
        <w:tblW w:w="10665" w:type="dxa"/>
        <w:tblInd w:w="64" w:type="dxa"/>
        <w:tblLayout w:type="fixed"/>
        <w:tblLook w:val="00A0"/>
      </w:tblPr>
      <w:tblGrid>
        <w:gridCol w:w="603"/>
        <w:gridCol w:w="10062"/>
      </w:tblGrid>
      <w:tr w:rsidR="0037007B" w:rsidTr="00894182">
        <w:trPr>
          <w:trHeight w:val="124"/>
        </w:trPr>
        <w:tc>
          <w:tcPr>
            <w:tcW w:w="1066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007B" w:rsidRDefault="0037007B">
            <w:pPr>
              <w:widowControl/>
              <w:suppressAutoHyphens w:val="0"/>
              <w:snapToGrid/>
              <w:spacing w:line="240" w:lineRule="auto"/>
              <w:ind w:left="100" w:firstLine="0"/>
              <w:jc w:val="center"/>
              <w:rPr>
                <w:sz w:val="20"/>
                <w:lang w:eastAsia="uk-UA"/>
              </w:rPr>
            </w:pPr>
            <w:r>
              <w:rPr>
                <w:b/>
                <w:color w:val="000000"/>
                <w:sz w:val="20"/>
                <w:lang w:eastAsia="uk-UA"/>
              </w:rPr>
              <w:t>Інші документи від Учасника:</w:t>
            </w:r>
          </w:p>
        </w:tc>
      </w:tr>
      <w:tr w:rsidR="0037007B" w:rsidRPr="00894182" w:rsidTr="00894182">
        <w:trPr>
          <w:trHeight w:val="807"/>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00" w:firstLine="0"/>
              <w:rPr>
                <w:sz w:val="20"/>
                <w:lang w:eastAsia="uk-UA"/>
              </w:rPr>
            </w:pPr>
            <w:r>
              <w:rPr>
                <w:b/>
                <w:color w:val="000000"/>
                <w:sz w:val="20"/>
                <w:lang w:eastAsia="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00" w:firstLine="0"/>
              <w:jc w:val="both"/>
              <w:rPr>
                <w:sz w:val="20"/>
                <w:lang w:eastAsia="uk-UA"/>
              </w:rPr>
            </w:pPr>
            <w:r>
              <w:rPr>
                <w:color w:val="000000"/>
                <w:sz w:val="20"/>
                <w:lang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7007B" w:rsidTr="00894182">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before="240" w:line="240" w:lineRule="auto"/>
              <w:ind w:left="100" w:firstLine="0"/>
              <w:rPr>
                <w:sz w:val="20"/>
                <w:lang w:eastAsia="uk-UA"/>
              </w:rPr>
            </w:pPr>
            <w:r>
              <w:rPr>
                <w:b/>
                <w:color w:val="000000"/>
                <w:sz w:val="20"/>
                <w:lang w:eastAsia="uk-UA"/>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00" w:right="120" w:hanging="20"/>
              <w:jc w:val="both"/>
              <w:rPr>
                <w:sz w:val="20"/>
                <w:lang w:eastAsia="uk-UA"/>
              </w:rPr>
            </w:pPr>
            <w:r>
              <w:rPr>
                <w:b/>
                <w:color w:val="000000"/>
                <w:sz w:val="20"/>
                <w:lang w:eastAsia="uk-UA"/>
              </w:rPr>
              <w:t xml:space="preserve">Достовірна інформація у вигляді довідки довільної форми, </w:t>
            </w:r>
            <w:r>
              <w:rPr>
                <w:color w:val="000000"/>
                <w:sz w:val="20"/>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lang w:eastAsia="uk-UA"/>
              </w:rPr>
              <w:t>Замість довідки довільної форми учасник може надати чинну ліцензію або документ дозвільного характеру</w:t>
            </w:r>
          </w:p>
        </w:tc>
      </w:tr>
      <w:tr w:rsidR="0037007B" w:rsidRPr="00894182" w:rsidTr="00894182">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before="240" w:line="240" w:lineRule="auto"/>
              <w:ind w:left="100" w:firstLine="0"/>
              <w:rPr>
                <w:sz w:val="20"/>
                <w:lang w:eastAsia="uk-UA"/>
              </w:rPr>
            </w:pPr>
            <w:r>
              <w:rPr>
                <w:b/>
                <w:color w:val="000000"/>
                <w:sz w:val="20"/>
                <w:lang w:eastAsia="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20" w:right="120" w:hanging="20"/>
              <w:jc w:val="both"/>
              <w:rPr>
                <w:sz w:val="20"/>
                <w:lang w:eastAsia="uk-UA"/>
              </w:rPr>
            </w:pPr>
            <w:r>
              <w:rPr>
                <w:color w:val="000000"/>
                <w:sz w:val="20"/>
                <w:lang w:eastAsia="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0"/>
                <w:lang w:eastAsia="uk-UA"/>
              </w:rPr>
              <w:t>місця проживання</w:t>
            </w:r>
            <w:r>
              <w:rPr>
                <w:color w:val="000000"/>
                <w:sz w:val="20"/>
                <w:lang w:eastAsia="uk-UA"/>
              </w:rPr>
              <w:t xml:space="preserve"> та громадянство.</w:t>
            </w:r>
          </w:p>
          <w:p w:rsidR="0037007B" w:rsidRDefault="0037007B">
            <w:pPr>
              <w:widowControl/>
              <w:suppressAutoHyphens w:val="0"/>
              <w:snapToGrid/>
              <w:spacing w:line="240" w:lineRule="auto"/>
              <w:ind w:left="100" w:right="120" w:hanging="20"/>
              <w:jc w:val="both"/>
              <w:rPr>
                <w:sz w:val="20"/>
                <w:lang w:eastAsia="uk-UA"/>
              </w:rPr>
            </w:pPr>
            <w:r>
              <w:rPr>
                <w:i/>
                <w:color w:val="000000"/>
                <w:sz w:val="20"/>
                <w:lang w:eastAsia="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7007B" w:rsidRPr="00894182" w:rsidTr="00894182">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before="240" w:line="240" w:lineRule="auto"/>
              <w:ind w:left="100" w:firstLine="0"/>
              <w:rPr>
                <w:b/>
                <w:color w:val="000000"/>
                <w:sz w:val="20"/>
                <w:lang w:eastAsia="uk-UA"/>
              </w:rPr>
            </w:pPr>
            <w:r>
              <w:rPr>
                <w:b/>
                <w:sz w:val="20"/>
                <w:lang w:eastAsia="uk-UA"/>
              </w:rPr>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07B" w:rsidRDefault="0037007B">
            <w:pPr>
              <w:widowControl/>
              <w:suppressAutoHyphens w:val="0"/>
              <w:snapToGrid/>
              <w:spacing w:line="240" w:lineRule="auto"/>
              <w:ind w:left="140" w:right="140" w:firstLine="0"/>
              <w:jc w:val="both"/>
              <w:rPr>
                <w:sz w:val="20"/>
                <w:lang w:eastAsia="uk-UA"/>
              </w:rPr>
            </w:pPr>
            <w:r>
              <w:rPr>
                <w:sz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Pr>
                  <w:rStyle w:val="Hyperlink"/>
                  <w:sz w:val="20"/>
                  <w:lang w:eastAsia="uk-UA"/>
                </w:rPr>
                <w:t>Наказом № 794/21</w:t>
              </w:r>
            </w:hyperlink>
            <w:r>
              <w:rPr>
                <w:sz w:val="20"/>
                <w:lang w:eastAsia="uk-UA"/>
              </w:rPr>
              <w:t xml:space="preserve">  та відповідний наказ про затвердження антикорупційної програми та призначення уповноваженого з її реалізації.</w:t>
            </w:r>
          </w:p>
        </w:tc>
      </w:tr>
    </w:tbl>
    <w:p w:rsidR="0037007B" w:rsidRDefault="0037007B" w:rsidP="00894182">
      <w:pPr>
        <w:autoSpaceDE w:val="0"/>
        <w:autoSpaceDN w:val="0"/>
        <w:adjustRightInd w:val="0"/>
        <w:spacing w:line="240" w:lineRule="auto"/>
        <w:ind w:firstLine="0"/>
        <w:jc w:val="both"/>
        <w:rPr>
          <w:bCs/>
          <w:color w:val="000000"/>
        </w:rPr>
      </w:pPr>
    </w:p>
    <w:p w:rsidR="0037007B" w:rsidRDefault="0037007B" w:rsidP="00894182"/>
    <w:p w:rsidR="0037007B" w:rsidRDefault="0037007B" w:rsidP="00894182">
      <w:pPr>
        <w:widowControl/>
        <w:shd w:val="clear" w:color="auto" w:fill="FFFFFF"/>
        <w:snapToGrid/>
        <w:spacing w:line="100" w:lineRule="atLeast"/>
        <w:ind w:firstLine="0"/>
        <w:rPr>
          <w:b/>
          <w:bCs/>
          <w:kern w:val="1"/>
          <w:sz w:val="24"/>
          <w:szCs w:val="24"/>
          <w:lang w:eastAsia="ar-SA"/>
        </w:rPr>
      </w:pPr>
    </w:p>
    <w:sectPr w:rsidR="0037007B" w:rsidSect="00D51ADD">
      <w:pgSz w:w="11906" w:h="16838"/>
      <w:pgMar w:top="719" w:right="709"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DB33356"/>
    <w:multiLevelType w:val="hybridMultilevel"/>
    <w:tmpl w:val="5E9C12E6"/>
    <w:lvl w:ilvl="0" w:tplc="EE06207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891C7C8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80094"/>
    <w:multiLevelType w:val="hybridMultilevel"/>
    <w:tmpl w:val="660C5056"/>
    <w:lvl w:ilvl="0" w:tplc="DD36E2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267201D"/>
    <w:multiLevelType w:val="hybridMultilevel"/>
    <w:tmpl w:val="BE1A7E70"/>
    <w:lvl w:ilvl="0" w:tplc="A85C49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74315A21"/>
    <w:multiLevelType w:val="hybridMultilevel"/>
    <w:tmpl w:val="829E7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EFF4979"/>
    <w:multiLevelType w:val="multilevel"/>
    <w:tmpl w:val="E68E5566"/>
    <w:lvl w:ilvl="0">
      <w:start w:val="1"/>
      <w:numFmt w:val="decimal"/>
      <w:lvlText w:val="%1."/>
      <w:lvlJc w:val="left"/>
      <w:pPr>
        <w:tabs>
          <w:tab w:val="num" w:pos="975"/>
        </w:tabs>
        <w:ind w:left="975" w:hanging="975"/>
      </w:pPr>
      <w:rPr>
        <w:rFonts w:eastAsia="Times New Roman" w:cs="Times New Roman" w:hint="default"/>
        <w:i w:val="0"/>
        <w:color w:val="000000"/>
      </w:rPr>
    </w:lvl>
    <w:lvl w:ilvl="1">
      <w:start w:val="1"/>
      <w:numFmt w:val="decimal"/>
      <w:lvlText w:val="%1.%2."/>
      <w:lvlJc w:val="left"/>
      <w:pPr>
        <w:tabs>
          <w:tab w:val="num" w:pos="1559"/>
        </w:tabs>
        <w:ind w:left="1559" w:hanging="975"/>
      </w:pPr>
      <w:rPr>
        <w:rFonts w:eastAsia="Times New Roman" w:cs="Times New Roman" w:hint="default"/>
        <w:i w:val="0"/>
        <w:color w:val="000000"/>
      </w:rPr>
    </w:lvl>
    <w:lvl w:ilvl="2">
      <w:start w:val="1"/>
      <w:numFmt w:val="decimal"/>
      <w:lvlText w:val="%1.%2.%3."/>
      <w:lvlJc w:val="left"/>
      <w:pPr>
        <w:tabs>
          <w:tab w:val="num" w:pos="2143"/>
        </w:tabs>
        <w:ind w:left="2143" w:hanging="975"/>
      </w:pPr>
      <w:rPr>
        <w:rFonts w:eastAsia="Times New Roman" w:cs="Times New Roman" w:hint="default"/>
        <w:i w:val="0"/>
        <w:color w:val="000000"/>
      </w:rPr>
    </w:lvl>
    <w:lvl w:ilvl="3">
      <w:start w:val="1"/>
      <w:numFmt w:val="decimal"/>
      <w:lvlText w:val="%1.%2.%3.%4."/>
      <w:lvlJc w:val="left"/>
      <w:pPr>
        <w:tabs>
          <w:tab w:val="num" w:pos="2727"/>
        </w:tabs>
        <w:ind w:left="2727" w:hanging="975"/>
      </w:pPr>
      <w:rPr>
        <w:rFonts w:eastAsia="Times New Roman" w:cs="Times New Roman" w:hint="default"/>
        <w:i w:val="0"/>
        <w:color w:val="000000"/>
      </w:rPr>
    </w:lvl>
    <w:lvl w:ilvl="4">
      <w:start w:val="1"/>
      <w:numFmt w:val="decimal"/>
      <w:lvlText w:val="%1.%2.%3.%4.%5."/>
      <w:lvlJc w:val="left"/>
      <w:pPr>
        <w:tabs>
          <w:tab w:val="num" w:pos="3416"/>
        </w:tabs>
        <w:ind w:left="3416" w:hanging="1080"/>
      </w:pPr>
      <w:rPr>
        <w:rFonts w:eastAsia="Times New Roman" w:cs="Times New Roman" w:hint="default"/>
        <w:i w:val="0"/>
        <w:color w:val="000000"/>
      </w:rPr>
    </w:lvl>
    <w:lvl w:ilvl="5">
      <w:start w:val="1"/>
      <w:numFmt w:val="decimal"/>
      <w:lvlText w:val="%1.%2.%3.%4.%5.%6."/>
      <w:lvlJc w:val="left"/>
      <w:pPr>
        <w:tabs>
          <w:tab w:val="num" w:pos="4000"/>
        </w:tabs>
        <w:ind w:left="4000" w:hanging="1080"/>
      </w:pPr>
      <w:rPr>
        <w:rFonts w:eastAsia="Times New Roman" w:cs="Times New Roman" w:hint="default"/>
        <w:i w:val="0"/>
        <w:color w:val="000000"/>
      </w:rPr>
    </w:lvl>
    <w:lvl w:ilvl="6">
      <w:start w:val="1"/>
      <w:numFmt w:val="decimal"/>
      <w:lvlText w:val="%1.%2.%3.%4.%5.%6.%7."/>
      <w:lvlJc w:val="left"/>
      <w:pPr>
        <w:tabs>
          <w:tab w:val="num" w:pos="4584"/>
        </w:tabs>
        <w:ind w:left="4584" w:hanging="1080"/>
      </w:pPr>
      <w:rPr>
        <w:rFonts w:eastAsia="Times New Roman" w:cs="Times New Roman" w:hint="default"/>
        <w:i w:val="0"/>
        <w:color w:val="000000"/>
      </w:rPr>
    </w:lvl>
    <w:lvl w:ilvl="7">
      <w:start w:val="1"/>
      <w:numFmt w:val="decimal"/>
      <w:lvlText w:val="%1.%2.%3.%4.%5.%6.%7.%8."/>
      <w:lvlJc w:val="left"/>
      <w:pPr>
        <w:tabs>
          <w:tab w:val="num" w:pos="5528"/>
        </w:tabs>
        <w:ind w:left="5528" w:hanging="1440"/>
      </w:pPr>
      <w:rPr>
        <w:rFonts w:eastAsia="Times New Roman" w:cs="Times New Roman" w:hint="default"/>
        <w:i w:val="0"/>
        <w:color w:val="000000"/>
      </w:rPr>
    </w:lvl>
    <w:lvl w:ilvl="8">
      <w:start w:val="1"/>
      <w:numFmt w:val="decimal"/>
      <w:lvlText w:val="%1.%2.%3.%4.%5.%6.%7.%8.%9."/>
      <w:lvlJc w:val="left"/>
      <w:pPr>
        <w:tabs>
          <w:tab w:val="num" w:pos="6112"/>
        </w:tabs>
        <w:ind w:left="6112" w:hanging="1440"/>
      </w:pPr>
      <w:rPr>
        <w:rFonts w:eastAsia="Times New Roman" w:cs="Times New Roman" w:hint="default"/>
        <w:i w:val="0"/>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444"/>
    <w:rsid w:val="00011865"/>
    <w:rsid w:val="000438BD"/>
    <w:rsid w:val="00047FAE"/>
    <w:rsid w:val="000738AB"/>
    <w:rsid w:val="000931C6"/>
    <w:rsid w:val="000A0A43"/>
    <w:rsid w:val="000B379E"/>
    <w:rsid w:val="000C5C25"/>
    <w:rsid w:val="00120ADF"/>
    <w:rsid w:val="0012163E"/>
    <w:rsid w:val="0013566C"/>
    <w:rsid w:val="00166EA6"/>
    <w:rsid w:val="00167937"/>
    <w:rsid w:val="00181565"/>
    <w:rsid w:val="001B4DD7"/>
    <w:rsid w:val="001C5FE1"/>
    <w:rsid w:val="001D2B4E"/>
    <w:rsid w:val="001E45B5"/>
    <w:rsid w:val="001F340C"/>
    <w:rsid w:val="0021288C"/>
    <w:rsid w:val="0025495B"/>
    <w:rsid w:val="002B31E4"/>
    <w:rsid w:val="002B406E"/>
    <w:rsid w:val="002C43EE"/>
    <w:rsid w:val="002D0556"/>
    <w:rsid w:val="00335210"/>
    <w:rsid w:val="0037007B"/>
    <w:rsid w:val="00382A16"/>
    <w:rsid w:val="003D6FDB"/>
    <w:rsid w:val="003D711C"/>
    <w:rsid w:val="003E36F1"/>
    <w:rsid w:val="003E5BF4"/>
    <w:rsid w:val="0042415C"/>
    <w:rsid w:val="0046421B"/>
    <w:rsid w:val="00464C6B"/>
    <w:rsid w:val="00470ABC"/>
    <w:rsid w:val="0047131E"/>
    <w:rsid w:val="004C069E"/>
    <w:rsid w:val="004D58AB"/>
    <w:rsid w:val="004E4BA9"/>
    <w:rsid w:val="00500980"/>
    <w:rsid w:val="005037D5"/>
    <w:rsid w:val="00520AE6"/>
    <w:rsid w:val="00573C2A"/>
    <w:rsid w:val="005747C0"/>
    <w:rsid w:val="00582CCE"/>
    <w:rsid w:val="005864A2"/>
    <w:rsid w:val="00593EC9"/>
    <w:rsid w:val="005E538F"/>
    <w:rsid w:val="00600B38"/>
    <w:rsid w:val="00601726"/>
    <w:rsid w:val="00601F82"/>
    <w:rsid w:val="0064780E"/>
    <w:rsid w:val="00662045"/>
    <w:rsid w:val="006717FB"/>
    <w:rsid w:val="00675413"/>
    <w:rsid w:val="006805B5"/>
    <w:rsid w:val="006835B0"/>
    <w:rsid w:val="00684552"/>
    <w:rsid w:val="00692C02"/>
    <w:rsid w:val="006A254E"/>
    <w:rsid w:val="006A6ADC"/>
    <w:rsid w:val="006C1024"/>
    <w:rsid w:val="00717366"/>
    <w:rsid w:val="00724284"/>
    <w:rsid w:val="007763CD"/>
    <w:rsid w:val="007E4DA0"/>
    <w:rsid w:val="00807093"/>
    <w:rsid w:val="0081022A"/>
    <w:rsid w:val="00833672"/>
    <w:rsid w:val="00842F48"/>
    <w:rsid w:val="008641B7"/>
    <w:rsid w:val="008747B1"/>
    <w:rsid w:val="008852C4"/>
    <w:rsid w:val="00887C5F"/>
    <w:rsid w:val="00894182"/>
    <w:rsid w:val="008A01DF"/>
    <w:rsid w:val="008C4329"/>
    <w:rsid w:val="008C75A0"/>
    <w:rsid w:val="008E0F7F"/>
    <w:rsid w:val="008E7AB8"/>
    <w:rsid w:val="008F305A"/>
    <w:rsid w:val="008F468D"/>
    <w:rsid w:val="0092292F"/>
    <w:rsid w:val="00942027"/>
    <w:rsid w:val="00951FD7"/>
    <w:rsid w:val="0095581F"/>
    <w:rsid w:val="00966FA1"/>
    <w:rsid w:val="00993914"/>
    <w:rsid w:val="009A3251"/>
    <w:rsid w:val="009E7DAA"/>
    <w:rsid w:val="009F3CBD"/>
    <w:rsid w:val="00A126A5"/>
    <w:rsid w:val="00A727CB"/>
    <w:rsid w:val="00A7485F"/>
    <w:rsid w:val="00A82683"/>
    <w:rsid w:val="00A82D20"/>
    <w:rsid w:val="00B015F5"/>
    <w:rsid w:val="00B15EC1"/>
    <w:rsid w:val="00B174A4"/>
    <w:rsid w:val="00B27169"/>
    <w:rsid w:val="00B43087"/>
    <w:rsid w:val="00B5310B"/>
    <w:rsid w:val="00B5653C"/>
    <w:rsid w:val="00B5781A"/>
    <w:rsid w:val="00B617B1"/>
    <w:rsid w:val="00B84120"/>
    <w:rsid w:val="00BB3D46"/>
    <w:rsid w:val="00BC4759"/>
    <w:rsid w:val="00BC6679"/>
    <w:rsid w:val="00BC67F3"/>
    <w:rsid w:val="00BD145D"/>
    <w:rsid w:val="00BD7B64"/>
    <w:rsid w:val="00C05E53"/>
    <w:rsid w:val="00C05ECA"/>
    <w:rsid w:val="00C10444"/>
    <w:rsid w:val="00C25FA6"/>
    <w:rsid w:val="00C42BE1"/>
    <w:rsid w:val="00C52864"/>
    <w:rsid w:val="00C61BD7"/>
    <w:rsid w:val="00C92E35"/>
    <w:rsid w:val="00C95CD2"/>
    <w:rsid w:val="00CC206F"/>
    <w:rsid w:val="00D10325"/>
    <w:rsid w:val="00D11AAC"/>
    <w:rsid w:val="00D51ADD"/>
    <w:rsid w:val="00D52404"/>
    <w:rsid w:val="00D526B9"/>
    <w:rsid w:val="00D54709"/>
    <w:rsid w:val="00D54C41"/>
    <w:rsid w:val="00D71659"/>
    <w:rsid w:val="00D719F9"/>
    <w:rsid w:val="00D76AD6"/>
    <w:rsid w:val="00D84F80"/>
    <w:rsid w:val="00D9184F"/>
    <w:rsid w:val="00D926F6"/>
    <w:rsid w:val="00DB0B30"/>
    <w:rsid w:val="00DE67E0"/>
    <w:rsid w:val="00DF50C0"/>
    <w:rsid w:val="00E2251A"/>
    <w:rsid w:val="00E532FE"/>
    <w:rsid w:val="00E605DE"/>
    <w:rsid w:val="00E75394"/>
    <w:rsid w:val="00ED1F40"/>
    <w:rsid w:val="00EF1591"/>
    <w:rsid w:val="00F0715C"/>
    <w:rsid w:val="00F13DC1"/>
    <w:rsid w:val="00F31D4E"/>
    <w:rsid w:val="00F3468A"/>
    <w:rsid w:val="00F4541C"/>
    <w:rsid w:val="00F5491B"/>
    <w:rsid w:val="00F54F7F"/>
    <w:rsid w:val="00F80B13"/>
    <w:rsid w:val="00F85EAA"/>
    <w:rsid w:val="00F9773E"/>
    <w:rsid w:val="00FB5D09"/>
    <w:rsid w:val="00FE38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44"/>
    <w:pPr>
      <w:widowControl w:val="0"/>
      <w:suppressAutoHyphens/>
      <w:snapToGrid w:val="0"/>
      <w:spacing w:line="300" w:lineRule="auto"/>
      <w:ind w:firstLine="1300"/>
    </w:pPr>
    <w:rPr>
      <w:szCs w:val="20"/>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
    <w:name w:val="Just"/>
    <w:uiPriority w:val="99"/>
    <w:rsid w:val="00C10444"/>
    <w:pPr>
      <w:suppressAutoHyphens/>
      <w:spacing w:before="40" w:after="40"/>
      <w:ind w:firstLine="568"/>
      <w:jc w:val="both"/>
    </w:pPr>
    <w:rPr>
      <w:kern w:val="1"/>
      <w:sz w:val="24"/>
      <w:szCs w:val="24"/>
      <w:lang w:eastAsia="ar-SA"/>
    </w:rPr>
  </w:style>
  <w:style w:type="paragraph" w:customStyle="1" w:styleId="1">
    <w:name w:val="Обычный1"/>
    <w:uiPriority w:val="99"/>
    <w:rsid w:val="001C5FE1"/>
    <w:pPr>
      <w:spacing w:after="160" w:line="259" w:lineRule="auto"/>
    </w:pPr>
    <w:rPr>
      <w:rFonts w:ascii="Calibri" w:hAnsi="Calibri" w:cs="Calibri"/>
      <w:lang w:val="uk-UA"/>
    </w:rPr>
  </w:style>
  <w:style w:type="paragraph" w:styleId="ListParagraph">
    <w:name w:val="List Paragraph"/>
    <w:basedOn w:val="Normal"/>
    <w:uiPriority w:val="99"/>
    <w:qFormat/>
    <w:rsid w:val="00D526B9"/>
    <w:pPr>
      <w:widowControl/>
      <w:suppressAutoHyphens w:val="0"/>
      <w:snapToGrid/>
      <w:spacing w:line="240" w:lineRule="auto"/>
      <w:ind w:left="720" w:firstLine="0"/>
      <w:contextualSpacing/>
    </w:pPr>
    <w:rPr>
      <w:sz w:val="24"/>
      <w:szCs w:val="24"/>
      <w:lang w:eastAsia="ru-RU"/>
    </w:rPr>
  </w:style>
  <w:style w:type="paragraph" w:customStyle="1" w:styleId="11">
    <w:name w:val="Обычный11"/>
    <w:link w:val="Normal0"/>
    <w:uiPriority w:val="99"/>
    <w:rsid w:val="008A01DF"/>
    <w:pPr>
      <w:spacing w:line="276" w:lineRule="auto"/>
    </w:pPr>
    <w:rPr>
      <w:rFonts w:ascii="Arial" w:hAnsi="Arial"/>
      <w:color w:val="000000"/>
    </w:rPr>
  </w:style>
  <w:style w:type="character" w:customStyle="1" w:styleId="Normal0">
    <w:name w:val="Normal Знак"/>
    <w:link w:val="11"/>
    <w:uiPriority w:val="99"/>
    <w:locked/>
    <w:rsid w:val="008A01DF"/>
    <w:rPr>
      <w:rFonts w:ascii="Arial" w:hAnsi="Arial"/>
      <w:color w:val="000000"/>
      <w:sz w:val="22"/>
      <w:lang w:val="ru-RU" w:eastAsia="ru-RU"/>
    </w:rPr>
  </w:style>
  <w:style w:type="paragraph" w:customStyle="1" w:styleId="rvps2">
    <w:name w:val="rvps2"/>
    <w:basedOn w:val="Normal"/>
    <w:uiPriority w:val="99"/>
    <w:rsid w:val="008A01DF"/>
    <w:pPr>
      <w:widowControl/>
      <w:suppressAutoHyphens w:val="0"/>
      <w:snapToGrid/>
      <w:spacing w:before="100" w:beforeAutospacing="1" w:after="100" w:afterAutospacing="1" w:line="240" w:lineRule="auto"/>
      <w:ind w:firstLine="0"/>
    </w:pPr>
    <w:rPr>
      <w:sz w:val="24"/>
      <w:szCs w:val="24"/>
      <w:lang w:val="ru-RU" w:eastAsia="ru-RU"/>
    </w:rPr>
  </w:style>
  <w:style w:type="paragraph" w:styleId="BalloonText">
    <w:name w:val="Balloon Text"/>
    <w:basedOn w:val="Normal"/>
    <w:link w:val="BalloonTextChar"/>
    <w:uiPriority w:val="99"/>
    <w:rsid w:val="00684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84552"/>
    <w:rPr>
      <w:rFonts w:ascii="Tahoma" w:hAnsi="Tahoma" w:cs="Tahoma"/>
      <w:sz w:val="16"/>
      <w:szCs w:val="16"/>
      <w:lang w:val="uk-UA" w:eastAsia="zh-CN"/>
    </w:rPr>
  </w:style>
  <w:style w:type="character" w:styleId="Hyperlink">
    <w:name w:val="Hyperlink"/>
    <w:basedOn w:val="DefaultParagraphFont"/>
    <w:uiPriority w:val="99"/>
    <w:semiHidden/>
    <w:rsid w:val="008941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8955713">
      <w:marLeft w:val="0"/>
      <w:marRight w:val="0"/>
      <w:marTop w:val="0"/>
      <w:marBottom w:val="0"/>
      <w:divBdr>
        <w:top w:val="none" w:sz="0" w:space="0" w:color="auto"/>
        <w:left w:val="none" w:sz="0" w:space="0" w:color="auto"/>
        <w:bottom w:val="none" w:sz="0" w:space="0" w:color="auto"/>
        <w:right w:val="none" w:sz="0" w:space="0" w:color="auto"/>
      </w:divBdr>
    </w:div>
    <w:div w:id="798955714">
      <w:marLeft w:val="0"/>
      <w:marRight w:val="0"/>
      <w:marTop w:val="0"/>
      <w:marBottom w:val="0"/>
      <w:divBdr>
        <w:top w:val="none" w:sz="0" w:space="0" w:color="auto"/>
        <w:left w:val="none" w:sz="0" w:space="0" w:color="auto"/>
        <w:bottom w:val="none" w:sz="0" w:space="0" w:color="auto"/>
        <w:right w:val="none" w:sz="0" w:space="0" w:color="auto"/>
      </w:divBdr>
    </w:div>
    <w:div w:id="798955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4</Pages>
  <Words>2053</Words>
  <Characters>11705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Пользователь</cp:lastModifiedBy>
  <cp:revision>13</cp:revision>
  <dcterms:created xsi:type="dcterms:W3CDTF">2023-02-14T10:39:00Z</dcterms:created>
  <dcterms:modified xsi:type="dcterms:W3CDTF">2023-04-12T14:40:00Z</dcterms:modified>
</cp:coreProperties>
</file>