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 Додаток 1</w:t>
      </w:r>
    </w:p>
    <w:p>
      <w:pPr>
        <w:shd w:val="clear" w:color="auto" w:fill="FFFFFF"/>
        <w:spacing w:after="0" w:line="240" w:lineRule="auto"/>
        <w:jc w:val="right"/>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p>
    <w:p>
      <w:pPr>
        <w:shd w:val="clear" w:color="auto" w:fill="FFFFFF"/>
        <w:spacing w:after="0" w:line="240" w:lineRule="auto"/>
        <w:jc w:val="both"/>
        <w:rPr>
          <w:rFonts w:ascii="Times New Roman" w:hAnsi="Times New Roman" w:eastAsia="Times New Roman" w:cs="Times New Roman"/>
          <w:b/>
          <w:bCs/>
          <w:i/>
          <w:iCs/>
          <w:color w:val="000000"/>
          <w:sz w:val="24"/>
          <w:szCs w:val="24"/>
          <w:lang w:val="uk-UA" w:eastAsia="ru-RU"/>
        </w:rPr>
      </w:pPr>
      <w:r>
        <w:rPr>
          <w:rFonts w:ascii="Times New Roman" w:hAnsi="Times New Roman" w:eastAsia="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ascii="Times New Roman" w:hAnsi="Times New Roman" w:eastAsia="Times New Roman" w:cs="Times New Roman"/>
          <w:b/>
          <w:bCs/>
          <w:i/>
          <w:color w:val="000000"/>
          <w:sz w:val="24"/>
          <w:szCs w:val="24"/>
          <w:lang w:val="uk-UA" w:eastAsia="ru-RU"/>
        </w:rPr>
        <w:t xml:space="preserve"> у відповідності до Особливостей</w:t>
      </w:r>
      <w:r>
        <w:rPr>
          <w:rFonts w:ascii="Times New Roman" w:hAnsi="Times New Roman" w:eastAsia="Times New Roman" w:cs="Times New Roman"/>
          <w:b/>
          <w:bCs/>
          <w:i/>
          <w:iCs/>
          <w:color w:val="000000"/>
          <w:sz w:val="24"/>
          <w:szCs w:val="24"/>
          <w:lang w:val="uk-UA" w:eastAsia="ru-RU"/>
        </w:rPr>
        <w:t>:</w:t>
      </w:r>
    </w:p>
    <w:tbl>
      <w:tblPr>
        <w:tblStyle w:val="3"/>
        <w:tblW w:w="9561" w:type="dxa"/>
        <w:jc w:val="center"/>
        <w:tblLayout w:type="autofit"/>
        <w:tblCellMar>
          <w:top w:w="100" w:type="dxa"/>
          <w:left w:w="100" w:type="dxa"/>
          <w:bottom w:w="100" w:type="dxa"/>
          <w:right w:w="100" w:type="dxa"/>
        </w:tblCellMar>
      </w:tblPr>
      <w:tblGrid>
        <w:gridCol w:w="544"/>
        <w:gridCol w:w="3669"/>
        <w:gridCol w:w="5348"/>
      </w:tblGrid>
      <w:tr>
        <w:trPr>
          <w:trHeight w:val="690" w:hRule="atLeast"/>
          <w:jc w:val="center"/>
        </w:trPr>
        <w:tc>
          <w:tcPr>
            <w:tcW w:w="544"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п/п</w:t>
            </w:r>
          </w:p>
        </w:tc>
        <w:tc>
          <w:tcPr>
            <w:tcW w:w="3669"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Кваліфікаційні критерії</w:t>
            </w:r>
          </w:p>
        </w:tc>
        <w:tc>
          <w:tcPr>
            <w:tcW w:w="5348" w:type="dxa"/>
            <w:tcBorders>
              <w:top w:val="single" w:color="000000" w:sz="8" w:space="0"/>
              <w:left w:val="single" w:color="000000" w:sz="8" w:space="0"/>
              <w:bottom w:val="single" w:color="000000" w:sz="8" w:space="0"/>
              <w:right w:val="single" w:color="000000" w:sz="8" w:space="0"/>
            </w:tcBorders>
            <w:vAlign w:val="center"/>
          </w:tcPr>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trPr>
          <w:trHeight w:val="2855"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1.</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в учасника процедури закупівлі обладнання, матеріально-технічної бази та технологій</w:t>
            </w:r>
            <w:r>
              <w:rPr>
                <w:rFonts w:ascii="Times New Roman" w:hAnsi="Times New Roman" w:eastAsia="Times New Roman" w:cs="Times New Roman"/>
                <w:i/>
                <w:iCs/>
                <w:color w:val="000000"/>
                <w:sz w:val="24"/>
                <w:szCs w:val="24"/>
                <w:lang w:val="uk-UA" w:eastAsia="ru-RU"/>
              </w:rPr>
              <w:t xml:space="preserve"> </w:t>
            </w:r>
          </w:p>
        </w:tc>
        <w:tc>
          <w:tcPr>
            <w:tcW w:w="5348" w:type="dxa"/>
            <w:tcBorders>
              <w:top w:val="single" w:color="000000" w:sz="8" w:space="0"/>
              <w:left w:val="single" w:color="000000" w:sz="8" w:space="0"/>
              <w:bottom w:val="single" w:color="000000" w:sz="8" w:space="0"/>
              <w:right w:val="single" w:color="000000" w:sz="8" w:space="0"/>
            </w:tcBorders>
          </w:tcPr>
          <w:p>
            <w:pPr>
              <w:contextualSpacing/>
              <w:jc w:val="both"/>
              <w:rPr>
                <w:rFonts w:ascii="Times New Roman" w:hAnsi="Times New Roman" w:cs="Times New Roman"/>
                <w:color w:val="000000"/>
                <w:lang w:val="uk-UA"/>
              </w:rPr>
            </w:pPr>
            <w:r>
              <w:rPr>
                <w:rFonts w:ascii="Times New Roman" w:hAnsi="Times New Roman" w:eastAsia="Times New Roman" w:cs="Times New Roman"/>
                <w:color w:val="000000"/>
                <w:sz w:val="24"/>
                <w:szCs w:val="24"/>
                <w:lang w:val="uk-UA" w:eastAsia="ru-RU"/>
              </w:rPr>
              <w:t>1.1.</w:t>
            </w:r>
            <w:r>
              <w:rPr>
                <w:rFonts w:ascii="Times New Roman" w:hAnsi="Times New Roman" w:cs="Times New Roman"/>
                <w:color w:val="000000"/>
                <w:lang w:val="uk-UA"/>
              </w:rPr>
              <w:t xml:space="preserve"> Довідка в довільній формі, в якій зазначається наступна інформація:</w:t>
            </w:r>
          </w:p>
          <w:p>
            <w:pPr>
              <w:contextualSpacing/>
              <w:jc w:val="both"/>
              <w:rPr>
                <w:rFonts w:ascii="Times New Roman" w:hAnsi="Times New Roman" w:cs="Times New Roman"/>
                <w:color w:val="000000"/>
                <w:lang w:val="uk-UA"/>
              </w:rPr>
            </w:pPr>
            <w:r>
              <w:rPr>
                <w:rFonts w:ascii="Times New Roman" w:hAnsi="Times New Roman" w:cs="Times New Roman"/>
                <w:color w:val="000000"/>
                <w:lang w:val="uk-UA"/>
              </w:rPr>
              <w:t>- наявність обладнання, матеріально-технічної бази та технологій, необхідних для постачання товару визначених у технічних вимогах (вказати найменування, кількість, технічний стан).</w:t>
            </w:r>
          </w:p>
          <w:p>
            <w:pPr>
              <w:contextualSpacing/>
              <w:jc w:val="both"/>
              <w:rPr>
                <w:rFonts w:ascii="Times New Roman" w:hAnsi="Times New Roman" w:cs="Times New Roman"/>
                <w:color w:val="000000"/>
                <w:lang w:val="uk-UA"/>
              </w:rPr>
            </w:pPr>
            <w:r>
              <w:rPr>
                <w:rFonts w:ascii="Times New Roman" w:hAnsi="Times New Roman" w:cs="Times New Roman"/>
                <w:color w:val="000000"/>
                <w:lang w:val="uk-UA"/>
              </w:rPr>
              <w:t>1.2. Копії відповідних документів, що підтверджують право власності або право користування автотранспортом, що пристосований для перевезення предмета закупівлі, протягом дії договору. Наявність у Учасника власного автотранспорту може бути підтверджено копією (копіями) свідоцтва (в) про реєстрацію транспортних засобів. Наявність у Учасника автотранспорту, що перебуває у користуванні, може бути підтверджено копією ( копіями) договору (договорів) про надання послуг з транспортування/перевезення.</w:t>
            </w:r>
          </w:p>
          <w:p>
            <w:pPr>
              <w:spacing w:after="0" w:line="240" w:lineRule="auto"/>
              <w:jc w:val="both"/>
              <w:rPr>
                <w:rFonts w:ascii="Times New Roman" w:hAnsi="Times New Roman" w:eastAsia="Times New Roman" w:cs="Times New Roman"/>
                <w:color w:val="000000"/>
                <w:sz w:val="24"/>
                <w:szCs w:val="24"/>
                <w:lang w:val="uk-UA" w:eastAsia="ru-RU"/>
              </w:rPr>
            </w:pPr>
          </w:p>
        </w:tc>
      </w:tr>
      <w:tr>
        <w:trPr>
          <w:trHeight w:val="589" w:hRule="atLeast"/>
          <w:jc w:val="center"/>
        </w:trPr>
        <w:tc>
          <w:tcPr>
            <w:tcW w:w="544" w:type="dxa"/>
            <w:tcBorders>
              <w:top w:val="single" w:color="000000" w:sz="8" w:space="0"/>
              <w:left w:val="single" w:color="000000" w:sz="8" w:space="0"/>
              <w:bottom w:val="single" w:color="000000" w:sz="8" w:space="0"/>
              <w:right w:val="single" w:color="000000" w:sz="8" w:space="0"/>
            </w:tcBorders>
          </w:tcPr>
          <w:p>
            <w:pPr>
              <w:spacing w:after="0" w:line="240" w:lineRule="auto"/>
              <w:jc w:val="center"/>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w:t>
            </w:r>
          </w:p>
        </w:tc>
        <w:tc>
          <w:tcPr>
            <w:tcW w:w="3669" w:type="dxa"/>
            <w:tcBorders>
              <w:top w:val="single" w:color="000000" w:sz="8" w:space="0"/>
              <w:left w:val="single" w:color="000000" w:sz="8" w:space="0"/>
              <w:bottom w:val="single" w:color="000000" w:sz="8" w:space="0"/>
              <w:right w:val="single" w:color="000000" w:sz="8" w:space="0"/>
            </w:tcBorders>
          </w:tcPr>
          <w:p>
            <w:pPr>
              <w:spacing w:after="0" w:line="24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color="000000" w:sz="8" w:space="0"/>
              <w:left w:val="single" w:color="000000" w:sz="8" w:space="0"/>
              <w:bottom w:val="single" w:color="000000" w:sz="8" w:space="0"/>
              <w:right w:val="single" w:color="000000" w:sz="8" w:space="0"/>
            </w:tcBorders>
          </w:tcPr>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3.1. Довідка в довільній формі, з інформацією про виконання  аналогічних за предметом закупівлі договорів  (не менше двох договорів).</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Аналогічним вважається договір, предмет якого відповідає коду</w:t>
            </w:r>
            <w:r>
              <w:rPr>
                <w:rFonts w:hint="default" w:ascii="Times New Roman" w:hAnsi="Times New Roman" w:eastAsia="Times New Roman" w:cs="Times New Roman"/>
                <w:color w:val="000000"/>
                <w:lang w:val="uk-UA" w:eastAsia="ru-RU"/>
              </w:rPr>
              <w:t xml:space="preserve"> </w:t>
            </w:r>
            <w:r>
              <w:rPr>
                <w:rFonts w:hint="default" w:ascii="Times New Roman" w:hAnsi="Times New Roman" w:eastAsia="Times New Roman"/>
                <w:color w:val="000000"/>
                <w:lang w:val="uk-UA" w:eastAsia="ru-RU"/>
              </w:rPr>
              <w:t>ДК 021:2015 – 09130000-9 Нафта і дистиляти</w:t>
            </w:r>
            <w:r>
              <w:rPr>
                <w:rFonts w:ascii="Times New Roman" w:hAnsi="Times New Roman" w:eastAsia="Times New Roman" w:cs="Times New Roman"/>
                <w:color w:val="000000"/>
                <w:lang w:val="uk-UA" w:eastAsia="ru-RU"/>
              </w:rPr>
              <w:t>.</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3.2. На підтвердження досвіду виконання аналогічних за предметом закупівлі договорів Учасник має на</w:t>
            </w:r>
            <w:bookmarkStart w:id="0" w:name="_GoBack"/>
            <w:bookmarkEnd w:id="0"/>
            <w:r>
              <w:rPr>
                <w:rFonts w:ascii="Times New Roman" w:hAnsi="Times New Roman" w:eastAsia="Times New Roman" w:cs="Times New Roman"/>
                <w:color w:val="000000"/>
                <w:lang w:val="uk-UA" w:eastAsia="ru-RU"/>
              </w:rPr>
              <w:t>дати:</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pPr>
              <w:spacing w:after="0" w:line="240" w:lineRule="auto"/>
              <w:jc w:val="both"/>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лист-відгук про якісне постачання товару до кожного договору, що зазначений в довідці.</w:t>
            </w:r>
          </w:p>
        </w:tc>
      </w:tr>
    </w:tbl>
    <w:p>
      <w:pPr>
        <w:spacing w:before="240" w:after="0" w:line="240" w:lineRule="auto"/>
        <w:jc w:val="both"/>
        <w:rPr>
          <w:rFonts w:ascii="Times New Roman" w:hAnsi="Times New Roman" w:eastAsia="Times New Roman" w:cs="Times New Roman"/>
          <w:i/>
          <w:iCs/>
          <w:color w:val="000000"/>
          <w:sz w:val="24"/>
          <w:szCs w:val="24"/>
          <w:lang w:val="uk-UA" w:eastAsia="ru-RU"/>
        </w:rPr>
      </w:pPr>
      <w:r>
        <w:rPr>
          <w:rFonts w:ascii="Times New Roman" w:hAnsi="Times New Roman" w:eastAsia="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40" w:after="0" w:line="240" w:lineRule="auto"/>
        <w:jc w:val="both"/>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статті 17 Закону у відповідності до Особливостей:</w:t>
      </w:r>
    </w:p>
    <w:tbl>
      <w:tblPr>
        <w:tblStyle w:val="3"/>
        <w:tblW w:w="0" w:type="auto"/>
        <w:tblInd w:w="0" w:type="dxa"/>
        <w:tblLayout w:type="autofit"/>
        <w:tblCellMar>
          <w:top w:w="15" w:type="dxa"/>
          <w:left w:w="15" w:type="dxa"/>
          <w:bottom w:w="15" w:type="dxa"/>
          <w:right w:w="15" w:type="dxa"/>
        </w:tblCellMar>
      </w:tblPr>
      <w:tblGrid>
        <w:gridCol w:w="569"/>
        <w:gridCol w:w="2887"/>
        <w:gridCol w:w="2322"/>
        <w:gridCol w:w="3798"/>
      </w:tblGrid>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5"/>
              <w:spacing w:before="0" w:beforeAutospacing="0" w:after="0" w:afterAutospacing="0" w:line="0" w:lineRule="atLeast"/>
              <w:jc w:val="center"/>
            </w:pPr>
            <w:r>
              <w:rPr>
                <w:b/>
                <w:bCs/>
                <w:color w:val="000000"/>
              </w:rPr>
              <w:t>№ п/п</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5"/>
              <w:spacing w:before="0" w:beforeAutospacing="0" w:after="0" w:afterAutospacing="0"/>
              <w:jc w:val="center"/>
            </w:pPr>
            <w:r>
              <w:rPr>
                <w:b/>
                <w:bCs/>
                <w:color w:val="000000"/>
              </w:rPr>
              <w:t>Підстави для відмови в участі у процедурі закупівлі</w:t>
            </w:r>
          </w:p>
          <w:p>
            <w:pPr>
              <w:spacing w:line="0" w:lineRule="atLeast"/>
              <w:rPr>
                <w:sz w:val="24"/>
                <w:szCs w:val="24"/>
              </w:rPr>
            </w:pPr>
          </w:p>
        </w:tc>
        <w:tc>
          <w:tcPr>
            <w:tcW w:w="2322" w:type="dxa"/>
            <w:tcBorders>
              <w:top w:val="single" w:color="000000" w:sz="4" w:space="0"/>
              <w:left w:val="single" w:color="000000" w:sz="4" w:space="0"/>
              <w:bottom w:val="single" w:color="000000" w:sz="4" w:space="0"/>
              <w:right w:val="single" w:color="000000" w:sz="4" w:space="0"/>
            </w:tcBorders>
            <w:vAlign w:val="center"/>
          </w:tcPr>
          <w:p>
            <w:pPr>
              <w:pStyle w:val="5"/>
              <w:spacing w:before="0" w:beforeAutospacing="0" w:after="0" w:afterAutospacing="0" w:line="0" w:lineRule="atLeast"/>
              <w:jc w:val="center"/>
            </w:pPr>
            <w:r>
              <w:rPr>
                <w:b/>
                <w:bCs/>
                <w:color w:val="000000"/>
              </w:rPr>
              <w:t>Учасник процедури закупівлі</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5"/>
              <w:spacing w:before="0" w:beforeAutospacing="0" w:after="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пп. 1 п. 44 Особливостей)</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color w:val="000000"/>
              </w:rPr>
            </w:pPr>
            <w:r>
              <w:rPr>
                <w:color w:val="00000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color w:val="000000"/>
              </w:rPr>
              <w:t xml:space="preserve">пп. 2 </w:t>
            </w:r>
          </w:p>
          <w:p>
            <w:pPr>
              <w:pStyle w:val="5"/>
              <w:spacing w:before="0" w:beforeAutospacing="0" w:after="0" w:afterAutospacing="0" w:line="0" w:lineRule="atLeast"/>
              <w:jc w:val="both"/>
            </w:pPr>
            <w:r>
              <w:rPr>
                <w:i/>
                <w:iCs/>
                <w:color w:val="000000"/>
              </w:rPr>
              <w:t>п. 44 Особливостей</w:t>
            </w:r>
            <w:r>
              <w:rPr>
                <w:color w:val="000000"/>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jc w:val="both"/>
            </w:pPr>
            <w:r>
              <w:rPr>
                <w:color w:val="00000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w:t>
            </w:r>
            <w:r>
              <w:rPr>
                <w:color w:val="000000"/>
                <w:highlight w:val="none"/>
              </w:rPr>
              <w:t xml:space="preserve">шення є обмеженим, тому відповідно до пункту 44 Особливостей, </w:t>
            </w:r>
            <w:r>
              <w:rPr>
                <w:b/>
                <w:bCs/>
                <w:i/>
                <w:color w:val="000000"/>
                <w:highlight w:val="none"/>
                <w:lang w:eastAsia="ru-RU"/>
              </w:rPr>
              <w:t xml:space="preserve">враховуючи технічну неможливість перевірити інформацію замовником за посиланням </w:t>
            </w:r>
            <w:r>
              <w:rPr>
                <w:highlight w:val="none"/>
              </w:rPr>
              <w:fldChar w:fldCharType="begin"/>
            </w:r>
            <w:r>
              <w:rPr>
                <w:highlight w:val="none"/>
              </w:rPr>
              <w:instrText xml:space="preserve"> HYPERLINK "https://corruptinfo.nazk.gov.ua/" </w:instrText>
            </w:r>
            <w:r>
              <w:rPr>
                <w:highlight w:val="none"/>
              </w:rPr>
              <w:fldChar w:fldCharType="separate"/>
            </w:r>
            <w:r>
              <w:rPr>
                <w:rStyle w:val="4"/>
                <w:b/>
                <w:bCs/>
                <w:highlight w:val="none"/>
                <w:lang w:eastAsia="ru-RU"/>
              </w:rPr>
              <w:t>https://corruptinfo.nazk.gov.ua/</w:t>
            </w:r>
            <w:r>
              <w:rPr>
                <w:rStyle w:val="4"/>
                <w:b/>
                <w:bCs/>
                <w:highlight w:val="none"/>
                <w:lang w:eastAsia="ru-RU"/>
              </w:rPr>
              <w:fldChar w:fldCharType="end"/>
            </w:r>
            <w:r>
              <w:rPr>
                <w:rStyle w:val="4"/>
                <w:b/>
                <w:bCs/>
                <w:highlight w:val="none"/>
                <w:lang w:eastAsia="ru-RU"/>
              </w:rPr>
              <w:t xml:space="preserve">, </w:t>
            </w:r>
            <w:r>
              <w:rPr>
                <w:rStyle w:val="4"/>
                <w:b/>
                <w:bCs/>
                <w:i/>
                <w:color w:val="auto"/>
                <w:highlight w:val="none"/>
                <w:u w:val="none"/>
                <w:lang w:eastAsia="ru-RU"/>
              </w:rPr>
              <w:t xml:space="preserve">переможець надає </w:t>
            </w:r>
            <w:r>
              <w:rPr>
                <w:b/>
                <w:bCs/>
                <w:i/>
                <w:color w:val="000000"/>
                <w:highlight w:val="none"/>
                <w:lang w:eastAsia="ru-RU"/>
              </w:rPr>
              <w:t>інф</w:t>
            </w:r>
            <w:r>
              <w:rPr>
                <w:b/>
                <w:bCs/>
                <w:i/>
                <w:color w:val="000000"/>
                <w:lang w:eastAsia="ru-RU"/>
              </w:rPr>
              <w:t xml:space="preserve">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color w:val="000000"/>
              </w:rPr>
              <w:t xml:space="preserve">про те, що </w:t>
            </w:r>
            <w:r>
              <w:rPr>
                <w:color w:val="00000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color w:val="000000"/>
              </w:rPr>
              <w:t>.</w:t>
            </w:r>
          </w:p>
          <w:p>
            <w:pPr>
              <w:spacing w:line="0" w:lineRule="atLeast"/>
              <w:rPr>
                <w:sz w:val="24"/>
                <w:szCs w:val="24"/>
                <w:lang w:val="uk-UA"/>
              </w:rPr>
            </w:pP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i/>
                <w:color w:val="000000"/>
              </w:rPr>
            </w:pPr>
            <w:r>
              <w:rPr>
                <w:color w:val="00000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color w:val="000000"/>
              </w:rPr>
              <w:t>пп. 3</w:t>
            </w:r>
          </w:p>
          <w:p>
            <w:pPr>
              <w:pStyle w:val="5"/>
              <w:spacing w:before="0" w:beforeAutospacing="0" w:after="0" w:afterAutospacing="0" w:line="0" w:lineRule="atLeast"/>
              <w:jc w:val="both"/>
            </w:pPr>
            <w:r>
              <w:rPr>
                <w:i/>
                <w:color w:val="000000"/>
              </w:rPr>
              <w:t xml:space="preserve"> п. 44 Особливостей</w:t>
            </w:r>
            <w:r>
              <w:rPr>
                <w:color w:val="000000"/>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На момент оприлюднення оголошення про проведення відкритих торгів доступ до Єдиного державного реєстру осіб, які вчинили корупційні або пов’язані з</w:t>
            </w:r>
            <w:r>
              <w:rPr>
                <w:color w:val="000000"/>
                <w:highlight w:val="none"/>
              </w:rPr>
              <w:t xml:space="preserve"> корупцією правопорушення є обмеженим, тому відповідно до пункту 44 Особливостей, </w:t>
            </w:r>
            <w:r>
              <w:rPr>
                <w:b/>
                <w:bCs/>
                <w:i/>
                <w:color w:val="000000"/>
                <w:highlight w:val="none"/>
                <w:lang w:eastAsia="ru-RU"/>
              </w:rPr>
              <w:t xml:space="preserve">враховуючи технічну неможливість перевірити інформацію замовником за посиланням </w:t>
            </w:r>
            <w:r>
              <w:rPr>
                <w:highlight w:val="none"/>
              </w:rPr>
              <w:fldChar w:fldCharType="begin"/>
            </w:r>
            <w:r>
              <w:rPr>
                <w:highlight w:val="none"/>
              </w:rPr>
              <w:instrText xml:space="preserve"> HYPERLINK "https://corruptinfo.nazk.gov.ua/" </w:instrText>
            </w:r>
            <w:r>
              <w:rPr>
                <w:highlight w:val="none"/>
              </w:rPr>
              <w:fldChar w:fldCharType="separate"/>
            </w:r>
            <w:r>
              <w:rPr>
                <w:rStyle w:val="4"/>
                <w:b/>
                <w:bCs/>
                <w:highlight w:val="none"/>
                <w:lang w:eastAsia="ru-RU"/>
              </w:rPr>
              <w:t>https://corruptinfo.nazk.gov.ua/</w:t>
            </w:r>
            <w:r>
              <w:rPr>
                <w:rStyle w:val="4"/>
                <w:b/>
                <w:bCs/>
                <w:highlight w:val="none"/>
                <w:lang w:eastAsia="ru-RU"/>
              </w:rPr>
              <w:fldChar w:fldCharType="end"/>
            </w:r>
            <w:r>
              <w:rPr>
                <w:rStyle w:val="4"/>
                <w:b/>
                <w:bCs/>
                <w:highlight w:val="none"/>
                <w:lang w:eastAsia="ru-RU"/>
              </w:rPr>
              <w:t xml:space="preserve">, </w:t>
            </w:r>
            <w:r>
              <w:rPr>
                <w:rStyle w:val="4"/>
                <w:b/>
                <w:bCs/>
                <w:i/>
                <w:color w:val="auto"/>
                <w:highlight w:val="none"/>
                <w:u w:val="none"/>
                <w:lang w:eastAsia="ru-RU"/>
              </w:rPr>
              <w:t xml:space="preserve">переможець надає </w:t>
            </w:r>
            <w:r>
              <w:rPr>
                <w:b/>
                <w:bCs/>
                <w:i/>
                <w:color w:val="000000"/>
                <w:highlight w:val="none"/>
                <w:lang w:eastAsia="ru-RU"/>
              </w:rPr>
              <w:t>інформаційну довідку або витяг з Реєстру стосовно фізичн</w:t>
            </w:r>
            <w:r>
              <w:rPr>
                <w:b/>
                <w:bCs/>
                <w:i/>
                <w:color w:val="000000"/>
                <w:lang w:eastAsia="ru-RU"/>
              </w:rPr>
              <w:t>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Pr>
                <w:color w:val="000000"/>
              </w:rPr>
              <w:t xml:space="preserve"> про те, що </w:t>
            </w:r>
            <w:r>
              <w:rPr>
                <w:color w:val="00000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color w:val="000000"/>
              </w:rPr>
              <w:t>пп. 4 п. 44 Особливостей</w:t>
            </w:r>
            <w:r>
              <w:rPr>
                <w:color w:val="000000"/>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color w:val="000000"/>
              </w:rPr>
              <w:t>пп. 5 п. 44 Особливостей</w:t>
            </w:r>
            <w:r>
              <w:rPr>
                <w:color w:val="000000"/>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highlight w:val="none"/>
                <w:lang w:val="uk-UA" w:eastAsia="ru-RU"/>
              </w:rPr>
            </w:pPr>
            <w:r>
              <w:rPr>
                <w:rFonts w:ascii="Times New Roman" w:hAnsi="Times New Roman" w:cs="Times New Roman"/>
                <w:color w:val="000000"/>
                <w:sz w:val="24"/>
                <w:szCs w:val="24"/>
                <w:highlight w:val="none"/>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color w:val="000000"/>
                <w:sz w:val="24"/>
                <w:szCs w:val="24"/>
                <w:highlight w:val="none"/>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5"/>
              <w:spacing w:before="0" w:beforeAutospacing="0" w:after="0" w:afterAutospacing="0" w:line="0" w:lineRule="atLeast"/>
              <w:jc w:val="both"/>
              <w:rPr>
                <w:highlight w:val="none"/>
              </w:rPr>
            </w:pPr>
            <w:r>
              <w:rPr>
                <w:color w:val="000000"/>
                <w:highlight w:val="none"/>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color w:val="000000"/>
              </w:rPr>
              <w:t>пп. 6 п. 44 Особливостей</w:t>
            </w:r>
            <w:r>
              <w:rPr>
                <w:color w:val="000000"/>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pPr>
            <w:r>
              <w:rPr>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highlight w:val="none"/>
                <w:lang w:val="uk-UA" w:eastAsia="ru-RU"/>
              </w:rPr>
            </w:pPr>
            <w:r>
              <w:rPr>
                <w:rFonts w:ascii="Times New Roman" w:hAnsi="Times New Roman" w:cs="Times New Roman"/>
                <w:color w:val="000000"/>
                <w:sz w:val="24"/>
                <w:szCs w:val="24"/>
                <w:highlight w:val="none"/>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color w:val="000000"/>
                <w:sz w:val="24"/>
                <w:szCs w:val="24"/>
                <w:highlight w:val="none"/>
                <w:lang w:val="uk-UA" w:eastAsia="ru-RU"/>
              </w:rPr>
              <w:t>про притягнення</w:t>
            </w:r>
            <w:r>
              <w:rPr>
                <w:highlight w:val="none"/>
                <w:lang w:val="uk-UA"/>
              </w:rPr>
              <w:t xml:space="preserve"> </w:t>
            </w:r>
            <w:r>
              <w:rPr>
                <w:rFonts w:ascii="Times New Roman" w:hAnsi="Times New Roman" w:eastAsia="Times New Roman" w:cs="Times New Roman"/>
                <w:color w:val="000000"/>
                <w:sz w:val="24"/>
                <w:szCs w:val="24"/>
                <w:highlight w:val="none"/>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5"/>
              <w:spacing w:before="0" w:beforeAutospacing="0" w:after="0" w:afterAutospacing="0" w:line="0" w:lineRule="atLeast"/>
              <w:jc w:val="both"/>
              <w:rPr>
                <w:highlight w:val="none"/>
              </w:rPr>
            </w:pPr>
            <w:r>
              <w:rPr>
                <w:color w:val="000000"/>
                <w:highlight w:val="none"/>
              </w:rPr>
              <w:t>Документ повинен бути не більше тридцятиденної давнини від дати видачі документа.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i/>
                <w:color w:val="000000"/>
              </w:rPr>
            </w:pPr>
            <w:r>
              <w:rPr>
                <w:color w:val="00000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color w:val="000000"/>
              </w:rPr>
              <w:t>пп. 7</w:t>
            </w:r>
          </w:p>
          <w:p>
            <w:pPr>
              <w:pStyle w:val="5"/>
              <w:spacing w:before="0" w:beforeAutospacing="0" w:after="0" w:afterAutospacing="0" w:line="0" w:lineRule="atLeast"/>
              <w:jc w:val="both"/>
            </w:pPr>
            <w:r>
              <w:rPr>
                <w:i/>
                <w:color w:val="000000"/>
              </w:rPr>
              <w:t xml:space="preserve"> п. 44 Особливостей</w:t>
            </w:r>
            <w:r>
              <w:rPr>
                <w:color w:val="000000"/>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pPr>
            <w:r>
              <w:rPr>
                <w:color w:val="000000"/>
              </w:rPr>
              <w:t>Замовник перевіряє інформацію самостійно.</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pPr>
            <w:r>
              <w:rPr>
                <w:color w:val="000000"/>
              </w:rPr>
              <w:t>Замовник перевіряє інформацію самостійно. Переможець не надає підтвердження своєї відповідності.  </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i/>
                <w:color w:val="000000"/>
                <w:highlight w:val="none"/>
              </w:rPr>
            </w:pPr>
            <w:r>
              <w:rPr>
                <w:color w:val="000000"/>
                <w:highlight w:val="none"/>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 (</w:t>
            </w:r>
            <w:r>
              <w:rPr>
                <w:i/>
                <w:color w:val="000000"/>
                <w:highlight w:val="none"/>
              </w:rPr>
              <w:t>пп. 8</w:t>
            </w:r>
          </w:p>
          <w:p>
            <w:pPr>
              <w:pStyle w:val="5"/>
              <w:spacing w:before="0" w:beforeAutospacing="0" w:after="0" w:afterAutospacing="0" w:line="0" w:lineRule="atLeast"/>
              <w:jc w:val="both"/>
              <w:rPr>
                <w:highlight w:val="none"/>
              </w:rPr>
            </w:pPr>
            <w:r>
              <w:rPr>
                <w:i/>
                <w:color w:val="000000"/>
                <w:highlight w:val="none"/>
              </w:rPr>
              <w:t xml:space="preserve"> п. 44 Особливостей</w:t>
            </w:r>
            <w:r>
              <w:rPr>
                <w:color w:val="000000"/>
                <w:highlight w:val="none"/>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rPr>
                <w:highlight w:val="none"/>
              </w:rPr>
            </w:pPr>
            <w:r>
              <w:rPr>
                <w:color w:val="000000"/>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Pr>
                <w:color w:val="000000"/>
                <w:highlight w:val="none"/>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i/>
                <w:color w:val="000000"/>
                <w:highlight w:val="none"/>
              </w:rPr>
            </w:pPr>
            <w:r>
              <w:rPr>
                <w:color w:val="000000"/>
                <w:highlight w:val="none"/>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color w:val="000000"/>
                <w:highlight w:val="none"/>
              </w:rPr>
              <w:t>пп. 9</w:t>
            </w:r>
          </w:p>
          <w:p>
            <w:pPr>
              <w:pStyle w:val="5"/>
              <w:spacing w:before="0" w:beforeAutospacing="0" w:after="0" w:afterAutospacing="0" w:line="0" w:lineRule="atLeast"/>
              <w:jc w:val="both"/>
              <w:rPr>
                <w:highlight w:val="none"/>
              </w:rPr>
            </w:pPr>
            <w:r>
              <w:rPr>
                <w:i/>
                <w:color w:val="000000"/>
                <w:highlight w:val="none"/>
              </w:rPr>
              <w:t xml:space="preserve"> п. 44 Особливостей</w:t>
            </w:r>
            <w:r>
              <w:rPr>
                <w:color w:val="000000"/>
                <w:highlight w:val="none"/>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rPr>
                <w:highlight w:val="none"/>
              </w:rPr>
            </w:pPr>
            <w:r>
              <w:rPr>
                <w:color w:val="000000"/>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Замовник перевіряє інформацію самостійно. 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10</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after="0" w:line="0" w:lineRule="atLeast"/>
              <w:jc w:val="both"/>
              <w:rPr>
                <w:color w:val="000000"/>
                <w:highlight w:val="none"/>
                <w:shd w:val="clear" w:color="auto" w:fill="FFFFFF"/>
              </w:rPr>
            </w:pPr>
            <w:r>
              <w:rPr>
                <w:color w:val="000000"/>
                <w:highlight w:val="none"/>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pPr>
              <w:pStyle w:val="5"/>
              <w:spacing w:before="0" w:beforeAutospacing="0" w:after="0" w:afterAutospacing="0" w:line="0" w:lineRule="atLeast"/>
              <w:jc w:val="both"/>
              <w:rPr>
                <w:i/>
                <w:color w:val="000000"/>
                <w:highlight w:val="none"/>
              </w:rPr>
            </w:pPr>
            <w:r>
              <w:rPr>
                <w:color w:val="000000"/>
                <w:highlight w:val="none"/>
                <w:shd w:val="clear" w:color="auto" w:fill="FFFFFF"/>
              </w:rPr>
              <w:t>20 млн. гривень (у тому числі за лотом) (</w:t>
            </w:r>
            <w:r>
              <w:rPr>
                <w:i/>
                <w:color w:val="000000"/>
                <w:highlight w:val="none"/>
              </w:rPr>
              <w:t>пп. 10</w:t>
            </w:r>
          </w:p>
          <w:p>
            <w:pPr>
              <w:pStyle w:val="5"/>
              <w:spacing w:before="0" w:beforeAutospacing="0" w:after="0" w:afterAutospacing="0" w:line="0" w:lineRule="atLeast"/>
              <w:jc w:val="both"/>
              <w:rPr>
                <w:highlight w:val="none"/>
              </w:rPr>
            </w:pPr>
            <w:r>
              <w:rPr>
                <w:i/>
                <w:color w:val="000000"/>
                <w:highlight w:val="none"/>
              </w:rPr>
              <w:t xml:space="preserve"> п. 44 Особливостей</w:t>
            </w:r>
            <w:r>
              <w:rPr>
                <w:color w:val="000000"/>
                <w:highlight w:val="none"/>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jc w:val="both"/>
              <w:rPr>
                <w:highlight w:val="none"/>
              </w:rPr>
            </w:pPr>
            <w:r>
              <w:rPr>
                <w:color w:val="000000"/>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color w:val="000000"/>
                <w:highlight w:val="none"/>
              </w:rPr>
              <w:t> </w:t>
            </w:r>
          </w:p>
          <w:p>
            <w:pPr>
              <w:pStyle w:val="5"/>
              <w:spacing w:before="0" w:beforeAutospacing="0" w:after="0" w:afterAutospacing="0"/>
              <w:jc w:val="both"/>
              <w:rPr>
                <w:highlight w:val="none"/>
              </w:rPr>
            </w:pPr>
            <w:r>
              <w:rPr>
                <w:i/>
                <w:iCs/>
                <w:color w:val="000000"/>
                <w:highlight w:val="none"/>
              </w:rPr>
              <w:t>(лише якщо вартість закупівлі товару (товарів), послуги (послуг) або робіт дорівнює чи перевищує 20 мільйонів гривень (у тому числі за лотом))</w:t>
            </w:r>
          </w:p>
          <w:p>
            <w:pPr>
              <w:spacing w:line="0" w:lineRule="atLeast"/>
              <w:rPr>
                <w:sz w:val="24"/>
                <w:szCs w:val="24"/>
                <w:highlight w:val="none"/>
              </w:rPr>
            </w:pP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jc w:val="both"/>
              <w:rPr>
                <w:highlight w:val="none"/>
              </w:rPr>
            </w:pPr>
            <w:r>
              <w:rPr>
                <w:color w:val="000000"/>
                <w:highlight w:val="none"/>
              </w:rPr>
              <w:t>Переможець надає антикорупційну програму та документ про призначення уповноваженого з реалізації антикорупційної програми</w:t>
            </w:r>
          </w:p>
          <w:p>
            <w:pPr>
              <w:pStyle w:val="5"/>
              <w:spacing w:before="0" w:beforeAutospacing="0" w:after="0" w:afterAutospacing="0"/>
              <w:jc w:val="both"/>
              <w:rPr>
                <w:highlight w:val="none"/>
              </w:rPr>
            </w:pPr>
            <w:r>
              <w:rPr>
                <w:i/>
                <w:iCs/>
                <w:color w:val="000000"/>
                <w:highlight w:val="none"/>
              </w:rPr>
              <w:t>(лише якщо вартість закупівлі товару (товарів), послуги (послуг) або робіт дорівнює чи перевищує 20 мільйонів гривень (у тому числі за лотом))</w:t>
            </w:r>
          </w:p>
          <w:p>
            <w:pPr>
              <w:rPr>
                <w:highlight w:val="none"/>
              </w:rPr>
            </w:pPr>
          </w:p>
          <w:p>
            <w:pPr>
              <w:pStyle w:val="5"/>
              <w:spacing w:before="0" w:beforeAutospacing="0" w:after="0" w:afterAutospacing="0" w:line="0" w:lineRule="atLeast"/>
              <w:jc w:val="both"/>
              <w:rPr>
                <w:highlight w:val="none"/>
              </w:rPr>
            </w:pPr>
            <w:r>
              <w:rPr>
                <w:color w:val="000000"/>
                <w:highlight w:val="none"/>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11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i/>
                <w:color w:val="000000"/>
                <w:highlight w:val="none"/>
              </w:rPr>
            </w:pPr>
            <w:r>
              <w:rPr>
                <w:color w:val="000000"/>
                <w:highlight w:val="none"/>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i/>
                <w:color w:val="000000"/>
                <w:highlight w:val="none"/>
              </w:rPr>
              <w:t>пп. 11</w:t>
            </w:r>
          </w:p>
          <w:p>
            <w:pPr>
              <w:pStyle w:val="5"/>
              <w:spacing w:before="0" w:beforeAutospacing="0" w:after="0" w:afterAutospacing="0" w:line="0" w:lineRule="atLeast"/>
              <w:jc w:val="both"/>
              <w:rPr>
                <w:highlight w:val="none"/>
              </w:rPr>
            </w:pPr>
            <w:r>
              <w:rPr>
                <w:i/>
                <w:color w:val="000000"/>
                <w:highlight w:val="none"/>
              </w:rPr>
              <w:t xml:space="preserve"> п. 44 Особливостей</w:t>
            </w:r>
            <w:r>
              <w:rPr>
                <w:color w:val="000000"/>
                <w:highlight w:val="none"/>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rPr>
                <w:highlight w:val="none"/>
              </w:rPr>
            </w:pPr>
            <w:r>
              <w:rPr>
                <w:color w:val="000000"/>
                <w:highlight w:val="none"/>
              </w:rPr>
              <w:t>Замовник перевіряє інформацію самостійно.</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Замовник перевіряє інформацію самостійно. Переможець не надає підтвердження своєї відповідності.</w:t>
            </w: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12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i/>
                <w:color w:val="000000"/>
                <w:highlight w:val="none"/>
              </w:rPr>
            </w:pPr>
            <w:r>
              <w:rPr>
                <w:color w:val="000000"/>
                <w:highlight w:val="none"/>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color w:val="000000"/>
                <w:highlight w:val="none"/>
              </w:rPr>
              <w:t>пп. 12</w:t>
            </w:r>
          </w:p>
          <w:p>
            <w:pPr>
              <w:pStyle w:val="5"/>
              <w:spacing w:before="0" w:beforeAutospacing="0" w:after="0" w:afterAutospacing="0" w:line="0" w:lineRule="atLeast"/>
              <w:jc w:val="both"/>
              <w:rPr>
                <w:highlight w:val="none"/>
              </w:rPr>
            </w:pPr>
            <w:r>
              <w:rPr>
                <w:i/>
                <w:color w:val="000000"/>
                <w:highlight w:val="none"/>
              </w:rPr>
              <w:t xml:space="preserve"> п. 44 Особливостей</w:t>
            </w:r>
            <w:r>
              <w:rPr>
                <w:color w:val="000000"/>
                <w:highlight w:val="none"/>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0" w:afterAutospacing="0" w:line="0" w:lineRule="atLeast"/>
              <w:jc w:val="both"/>
              <w:rPr>
                <w:highlight w:val="none"/>
              </w:rPr>
            </w:pPr>
            <w:r>
              <w:rPr>
                <w:color w:val="000000"/>
                <w:highlight w:val="non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eastAsia="Times New Roman" w:cs="Times New Roman"/>
                <w:color w:val="000000"/>
                <w:sz w:val="24"/>
                <w:szCs w:val="24"/>
                <w:highlight w:val="none"/>
                <w:lang w:val="uk-UA" w:eastAsia="ru-RU"/>
              </w:rPr>
            </w:pPr>
            <w:r>
              <w:rPr>
                <w:rFonts w:ascii="Times New Roman" w:hAnsi="Times New Roman" w:cs="Times New Roman"/>
                <w:color w:val="000000"/>
                <w:sz w:val="24"/>
                <w:szCs w:val="24"/>
                <w:highlight w:val="none"/>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eastAsia="Times New Roman" w:cs="Times New Roman"/>
                <w:color w:val="000000"/>
                <w:sz w:val="24"/>
                <w:szCs w:val="24"/>
                <w:highlight w:val="none"/>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pPr>
              <w:pStyle w:val="5"/>
              <w:spacing w:before="0" w:beforeAutospacing="0" w:after="0" w:afterAutospacing="0"/>
              <w:jc w:val="both"/>
              <w:rPr>
                <w:color w:val="000000"/>
                <w:highlight w:val="none"/>
              </w:rPr>
            </w:pPr>
            <w:r>
              <w:rPr>
                <w:color w:val="000000"/>
                <w:highlight w:val="none"/>
              </w:rPr>
              <w:t xml:space="preserve">Документ повинен бути не більше тридцятиденної давнини від дати видачі документа. </w:t>
            </w: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color w:val="000000"/>
                <w:highlight w:val="none"/>
              </w:rPr>
            </w:pPr>
          </w:p>
          <w:p>
            <w:pPr>
              <w:pStyle w:val="5"/>
              <w:spacing w:before="0" w:beforeAutospacing="0" w:after="0" w:afterAutospacing="0"/>
              <w:jc w:val="both"/>
              <w:rPr>
                <w:highlight w:val="none"/>
              </w:rPr>
            </w:pPr>
          </w:p>
          <w:p>
            <w:pPr>
              <w:pStyle w:val="5"/>
              <w:spacing w:before="0" w:beforeAutospacing="0" w:after="0" w:afterAutospacing="0" w:line="0" w:lineRule="atLeast"/>
              <w:jc w:val="both"/>
              <w:rPr>
                <w:highlight w:val="none"/>
              </w:rPr>
            </w:pPr>
          </w:p>
        </w:tc>
      </w:tr>
      <w:tr>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line="0" w:lineRule="atLeast"/>
              <w:jc w:val="both"/>
              <w:rPr>
                <w:highlight w:val="none"/>
              </w:rPr>
            </w:pPr>
            <w:r>
              <w:rPr>
                <w:color w:val="000000"/>
                <w:highlight w:val="none"/>
              </w:rPr>
              <w:t>13</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hd w:val="clear" w:color="auto" w:fill="FFFFFF"/>
              <w:spacing w:before="0" w:beforeAutospacing="0" w:after="150" w:afterAutospacing="0" w:line="0" w:lineRule="atLeast"/>
              <w:jc w:val="both"/>
              <w:rPr>
                <w:highlight w:val="none"/>
              </w:rPr>
            </w:pPr>
            <w:r>
              <w:rPr>
                <w:color w:val="000000"/>
                <w:highlight w:val="none"/>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color w:val="000000"/>
                <w:highlight w:val="none"/>
              </w:rPr>
              <w:t>абз.14 п. 44 Особливостей</w:t>
            </w:r>
            <w:r>
              <w:rPr>
                <w:color w:val="000000"/>
                <w:highlight w:val="none"/>
              </w:rPr>
              <w:t>)</w:t>
            </w:r>
          </w:p>
        </w:tc>
        <w:tc>
          <w:tcPr>
            <w:tcW w:w="2322" w:type="dxa"/>
            <w:tcBorders>
              <w:top w:val="single" w:color="000000" w:sz="4" w:space="0"/>
              <w:left w:val="single" w:color="000000" w:sz="4" w:space="0"/>
              <w:bottom w:val="single" w:color="000000" w:sz="4" w:space="0"/>
              <w:right w:val="single" w:color="000000" w:sz="4" w:space="0"/>
            </w:tcBorders>
          </w:tcPr>
          <w:p>
            <w:pPr>
              <w:pStyle w:val="5"/>
              <w:spacing w:before="0" w:beforeAutospacing="0" w:after="160" w:afterAutospacing="0"/>
              <w:jc w:val="both"/>
              <w:rPr>
                <w:color w:val="000000"/>
                <w:highlight w:val="none"/>
              </w:rPr>
            </w:pPr>
            <w:r>
              <w:rPr>
                <w:color w:val="000000"/>
                <w:highlight w:val="none"/>
              </w:rPr>
              <w:t>Учасник процедури закупівлі підтверджує відсутність підстави шляхом подання  інформації у довільній формі (лист, довідка)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5"/>
              <w:spacing w:before="0" w:beforeAutospacing="0" w:after="160" w:afterAutospacing="0"/>
              <w:ind w:left="50"/>
              <w:jc w:val="both"/>
              <w:rPr>
                <w:highlight w:val="none"/>
              </w:rPr>
            </w:pPr>
            <w:r>
              <w:rPr>
                <w:color w:val="000000"/>
                <w:highlight w:val="none"/>
              </w:rPr>
              <w:t>або </w:t>
            </w:r>
          </w:p>
          <w:p>
            <w:pPr>
              <w:pStyle w:val="5"/>
              <w:spacing w:before="0" w:beforeAutospacing="0" w:after="160" w:afterAutospacing="0" w:line="0" w:lineRule="atLeast"/>
              <w:jc w:val="both"/>
              <w:rPr>
                <w:highlight w:val="none"/>
              </w:rPr>
            </w:pPr>
            <w:r>
              <w:rPr>
                <w:color w:val="000000"/>
                <w:highlight w:val="none"/>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79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5"/>
              <w:spacing w:before="0" w:beforeAutospacing="0" w:after="0" w:afterAutospacing="0"/>
              <w:jc w:val="both"/>
              <w:rPr>
                <w:highlight w:val="none"/>
              </w:rPr>
            </w:pPr>
            <w:r>
              <w:rPr>
                <w:color w:val="000000"/>
                <w:highlight w:val="none"/>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rPr>
                <w:highlight w:val="none"/>
                <w:lang w:val="uk-UA"/>
              </w:rPr>
            </w:pPr>
          </w:p>
          <w:p>
            <w:pPr>
              <w:pStyle w:val="5"/>
              <w:spacing w:before="0" w:beforeAutospacing="0" w:after="0" w:afterAutospacing="0"/>
              <w:jc w:val="both"/>
              <w:rPr>
                <w:highlight w:val="none"/>
              </w:rPr>
            </w:pPr>
            <w:r>
              <w:rPr>
                <w:color w:val="000000"/>
                <w:highlight w:val="none"/>
              </w:rPr>
              <w:t>або</w:t>
            </w:r>
          </w:p>
          <w:p>
            <w:pPr>
              <w:rPr>
                <w:highlight w:val="none"/>
                <w:lang w:val="uk-UA"/>
              </w:rPr>
            </w:pPr>
          </w:p>
          <w:p>
            <w:pPr>
              <w:pStyle w:val="5"/>
              <w:spacing w:before="0" w:beforeAutospacing="0" w:after="0" w:afterAutospacing="0" w:line="0" w:lineRule="atLeast"/>
              <w:jc w:val="both"/>
              <w:rPr>
                <w:highlight w:val="none"/>
              </w:rPr>
            </w:pPr>
            <w:r>
              <w:rPr>
                <w:color w:val="000000"/>
                <w:highlight w:val="none"/>
              </w:rPr>
              <w:t>Переможець процедури закупівлі, що перебуває в обставинах, зазначених в абз.14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shd w:val="clear" w:color="auto" w:fill="FFFFFF"/>
        <w:spacing w:before="240" w:after="0" w:line="240" w:lineRule="auto"/>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highlight w:val="none"/>
          <w:lang w:val="uk-UA" w:eastAsia="ru-RU"/>
        </w:rPr>
        <w:t>3. Інша інформація (для УЧАСНИКІВ - юридичних осіб, фізичних осіб та фізичних осіб-підприємців).</w:t>
      </w:r>
    </w:p>
    <w:tbl>
      <w:tblPr>
        <w:tblStyle w:val="3"/>
        <w:tblW w:w="9598" w:type="dxa"/>
        <w:tblInd w:w="0" w:type="dxa"/>
        <w:tblLayout w:type="autofit"/>
        <w:tblCellMar>
          <w:top w:w="15" w:type="dxa"/>
          <w:left w:w="15" w:type="dxa"/>
          <w:bottom w:w="15" w:type="dxa"/>
          <w:right w:w="15" w:type="dxa"/>
        </w:tblCellMar>
      </w:tblPr>
      <w:tblGrid>
        <w:gridCol w:w="9598"/>
      </w:tblGrid>
      <w:tr>
        <w:trPr>
          <w:trHeight w:val="124" w:hRule="atLeast"/>
        </w:trPr>
        <w:tc>
          <w:tcPr>
            <w:tcW w:w="9598" w:type="dxa"/>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pPr>
              <w:spacing w:after="0" w:line="240" w:lineRule="auto"/>
              <w:ind w:left="100"/>
              <w:jc w:val="center"/>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highlight w:val="none"/>
                <w:lang w:val="uk-UA" w:eastAsia="ru-RU"/>
              </w:rPr>
              <w:t>Інші документи від Учасника:</w:t>
            </w:r>
          </w:p>
        </w:tc>
      </w:tr>
    </w:tbl>
    <w:p>
      <w:pPr>
        <w:spacing w:before="240" w:after="0" w:line="240" w:lineRule="auto"/>
        <w:jc w:val="both"/>
        <w:rPr>
          <w:rFonts w:ascii="Times New Roman" w:hAnsi="Times New Roman" w:eastAsia="Times New Roman" w:cs="Times New Roman"/>
          <w:i/>
          <w:iCs/>
          <w:color w:val="000000"/>
          <w:sz w:val="24"/>
          <w:szCs w:val="24"/>
          <w:highlight w:val="none"/>
          <w:lang w:val="uk-UA" w:eastAsia="ru-RU"/>
        </w:rPr>
      </w:pPr>
    </w:p>
    <w:tbl>
      <w:tblPr>
        <w:tblStyle w:val="3"/>
        <w:tblW w:w="9560" w:type="dxa"/>
        <w:tblInd w:w="85" w:type="dxa"/>
        <w:tblLayout w:type="autofit"/>
        <w:tblCellMar>
          <w:top w:w="100" w:type="dxa"/>
          <w:left w:w="100" w:type="dxa"/>
          <w:bottom w:w="100" w:type="dxa"/>
          <w:right w:w="100" w:type="dxa"/>
        </w:tblCellMar>
      </w:tblPr>
      <w:tblGrid>
        <w:gridCol w:w="1986"/>
        <w:gridCol w:w="7574"/>
      </w:tblGrid>
      <w:tr>
        <w:trPr>
          <w:trHeight w:val="807" w:hRule="atLeast"/>
        </w:trPr>
        <w:tc>
          <w:tcPr>
            <w:tcW w:w="1986" w:type="dxa"/>
            <w:tcBorders>
              <w:top w:val="single" w:color="000000" w:sz="8" w:space="0"/>
              <w:left w:val="single" w:color="000000" w:sz="8" w:space="0"/>
              <w:bottom w:val="single" w:color="000000" w:sz="8" w:space="0"/>
              <w:right w:val="single" w:color="000000" w:sz="8" w:space="0"/>
            </w:tcBorders>
          </w:tcPr>
          <w:p>
            <w:pPr>
              <w:spacing w:after="0" w:line="240" w:lineRule="auto"/>
              <w:ind w:left="100"/>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highlight w:val="none"/>
                <w:lang w:val="uk-UA" w:eastAsia="ru-RU"/>
              </w:rPr>
              <w:t>1</w:t>
            </w:r>
          </w:p>
        </w:tc>
        <w:tc>
          <w:tcPr>
            <w:tcW w:w="7574" w:type="dxa"/>
            <w:tcBorders>
              <w:top w:val="single" w:color="000000" w:sz="8" w:space="0"/>
              <w:left w:val="single" w:color="000000" w:sz="8" w:space="0"/>
              <w:bottom w:val="single" w:color="000000" w:sz="8" w:space="0"/>
              <w:right w:val="single" w:color="000000" w:sz="8" w:space="0"/>
            </w:tcBorders>
          </w:tcPr>
          <w:p>
            <w:pPr>
              <w:spacing w:after="0" w:line="240" w:lineRule="auto"/>
              <w:ind w:left="100"/>
              <w:jc w:val="both"/>
              <w:rPr>
                <w:rFonts w:ascii="Times New Roman" w:hAnsi="Times New Roman" w:eastAsia="Times New Roman" w:cs="Times New Roman"/>
                <w:color w:val="000000"/>
                <w:sz w:val="24"/>
                <w:szCs w:val="24"/>
                <w:highlight w:val="none"/>
                <w:lang w:val="uk-UA" w:eastAsia="ru-RU"/>
              </w:rPr>
            </w:pPr>
            <w:r>
              <w:rPr>
                <w:rFonts w:ascii="Times New Roman" w:hAnsi="Times New Roman" w:eastAsia="Times New Roman" w:cs="Times New Roman"/>
                <w:color w:val="000000"/>
                <w:sz w:val="24"/>
                <w:szCs w:val="24"/>
                <w:highlight w:val="none"/>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6" w:type="dxa"/>
            <w:tcBorders>
              <w:top w:val="single" w:color="000000" w:sz="8" w:space="0"/>
              <w:left w:val="single" w:color="000000" w:sz="8" w:space="0"/>
              <w:bottom w:val="single" w:color="000000" w:sz="8" w:space="0"/>
              <w:right w:val="single" w:color="000000" w:sz="8" w:space="0"/>
            </w:tcBorders>
          </w:tcPr>
          <w:p>
            <w:pPr>
              <w:spacing w:before="240" w:after="0" w:line="240" w:lineRule="auto"/>
              <w:ind w:left="100"/>
              <w:rPr>
                <w:rFonts w:ascii="Times New Roman" w:hAnsi="Times New Roman" w:eastAsia="Times New Roman" w:cs="Times New Roman"/>
                <w:b/>
                <w:bCs/>
                <w:color w:val="000000"/>
                <w:sz w:val="24"/>
                <w:szCs w:val="24"/>
                <w:highlight w:val="none"/>
                <w:lang w:val="uk-UA" w:eastAsia="ru-RU"/>
              </w:rPr>
            </w:pPr>
            <w:r>
              <w:rPr>
                <w:rFonts w:ascii="Times New Roman" w:hAnsi="Times New Roman" w:eastAsia="Times New Roman" w:cs="Times New Roman"/>
                <w:b/>
                <w:bCs/>
                <w:color w:val="000000"/>
                <w:sz w:val="24"/>
                <w:szCs w:val="24"/>
                <w:highlight w:val="none"/>
                <w:lang w:val="uk-UA" w:eastAsia="ru-RU"/>
              </w:rPr>
              <w:t>2</w:t>
            </w:r>
          </w:p>
        </w:tc>
        <w:tc>
          <w:tcPr>
            <w:tcW w:w="7574" w:type="dxa"/>
            <w:tcBorders>
              <w:top w:val="single" w:color="000000" w:sz="8" w:space="0"/>
              <w:left w:val="single" w:color="000000" w:sz="8" w:space="0"/>
              <w:bottom w:val="single" w:color="000000" w:sz="8" w:space="0"/>
              <w:right w:val="single" w:color="000000" w:sz="8" w:space="0"/>
            </w:tcBorders>
          </w:tcPr>
          <w:p>
            <w:pPr>
              <w:pStyle w:val="6"/>
              <w:spacing w:line="240" w:lineRule="auto"/>
              <w:ind w:left="34" w:hanging="21"/>
              <w:contextualSpacing/>
              <w:jc w:val="both"/>
              <w:rPr>
                <w:rFonts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highlight w:val="none"/>
                <w:lang w:val="uk-UA"/>
              </w:rPr>
              <w:t>Також, учасник надає:</w:t>
            </w:r>
          </w:p>
          <w:p>
            <w:pPr>
              <w:pStyle w:val="6"/>
              <w:spacing w:line="240" w:lineRule="auto"/>
              <w:ind w:left="34" w:hanging="21"/>
              <w:contextualSpacing/>
              <w:jc w:val="both"/>
              <w:rPr>
                <w:rFonts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highlight w:val="none"/>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6"/>
              <w:spacing w:line="240" w:lineRule="auto"/>
              <w:ind w:left="34" w:hanging="21"/>
              <w:contextualSpacing/>
              <w:jc w:val="both"/>
              <w:rPr>
                <w:rFonts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highlight w:val="none"/>
                <w:lang w:val="uk-UA"/>
              </w:rPr>
              <w:t>- витяг/свідоцтво про сплату ПДВ/єдиного податку;</w:t>
            </w:r>
          </w:p>
          <w:p>
            <w:pPr>
              <w:pStyle w:val="6"/>
              <w:spacing w:line="240" w:lineRule="auto"/>
              <w:ind w:left="34" w:hanging="21"/>
              <w:contextualSpacing/>
              <w:jc w:val="both"/>
              <w:rPr>
                <w:rFonts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highlight w:val="none"/>
                <w:lang w:val="uk-UA"/>
              </w:rPr>
              <w:t xml:space="preserve"> - Для іноземного учасника - завірений переклад витягу з торгового реєстру, тощо;</w:t>
            </w:r>
          </w:p>
          <w:p>
            <w:pPr>
              <w:pStyle w:val="6"/>
              <w:spacing w:line="240" w:lineRule="auto"/>
              <w:ind w:left="34" w:hanging="21"/>
              <w:contextualSpacing/>
              <w:jc w:val="both"/>
              <w:rPr>
                <w:rFonts w:ascii="Times New Roman" w:hAnsi="Times New Roman" w:eastAsia="Times New Roman" w:cs="Times New Roman"/>
                <w:sz w:val="24"/>
                <w:szCs w:val="24"/>
                <w:highlight w:val="none"/>
                <w:lang w:val="uk-UA"/>
              </w:rPr>
            </w:pPr>
            <w:r>
              <w:rPr>
                <w:rFonts w:ascii="Times New Roman" w:hAnsi="Times New Roman" w:eastAsia="Times New Roman" w:cs="Times New Roman"/>
                <w:sz w:val="24"/>
                <w:szCs w:val="24"/>
                <w:highlight w:val="none"/>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rPr>
          <w:highlight w:val="none"/>
          <w:lang w:val="uk-UA"/>
        </w:rPr>
      </w:pPr>
    </w:p>
    <w:p>
      <w:pPr>
        <w:rPr>
          <w:highlight w:val="none"/>
          <w:lang w:val="uk-UA"/>
        </w:rPr>
      </w:pPr>
    </w:p>
    <w:p>
      <w:pPr>
        <w:rPr>
          <w:highlight w:val="none"/>
          <w:lang w:val="uk-UA"/>
        </w:rPr>
      </w:pPr>
    </w:p>
    <w:p>
      <w:pPr>
        <w:tabs>
          <w:tab w:val="left" w:pos="993"/>
        </w:tabs>
        <w:ind w:firstLine="568"/>
        <w:jc w:val="both"/>
        <w:rPr>
          <w:highlight w:val="none"/>
          <w:lang w:val="uk-UA"/>
        </w:rPr>
      </w:pPr>
    </w:p>
    <w:p>
      <w:pPr>
        <w:rPr>
          <w:highlight w:val="none"/>
          <w:lang w:val="uk-UA"/>
        </w:rPr>
      </w:pPr>
    </w:p>
    <w:sectPr>
      <w:pgSz w:w="12240" w:h="15840"/>
      <w:pgMar w:top="1440" w:right="1440" w:bottom="1440" w:left="1440" w:header="0" w:footer="0" w:gutter="0"/>
      <w:cols w:space="720" w:num="1"/>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1" w:usb3="00000000" w:csb0="0000019F" w:csb1="00000000"/>
  </w:font>
  <w:font w:name="Calibri">
    <w:altName w:val="Helvetica Neue"/>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1F"/>
    <w:rsid w:val="0004159F"/>
    <w:rsid w:val="000B5D99"/>
    <w:rsid w:val="000F4C89"/>
    <w:rsid w:val="0013641F"/>
    <w:rsid w:val="004F3CC5"/>
    <w:rsid w:val="00754690"/>
    <w:rsid w:val="00981FDE"/>
    <w:rsid w:val="00B25C2F"/>
    <w:rsid w:val="F578D674"/>
    <w:rsid w:val="FFEF790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 w:type="paragraph" w:styleId="5">
    <w:name w:val="Normal (Web)"/>
    <w:basedOn w:val="1"/>
    <w:unhideWhenUsed/>
    <w:uiPriority w:val="99"/>
    <w:pPr>
      <w:suppressAutoHyphens w:val="0"/>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customStyle="1" w:styleId="6">
    <w:name w:val="Обычный1"/>
    <w:qFormat/>
    <w:uiPriority w:val="0"/>
    <w:pPr>
      <w:suppressAutoHyphens/>
      <w:spacing w:after="0" w:line="276" w:lineRule="auto"/>
    </w:pPr>
    <w:rPr>
      <w:rFonts w:ascii="Arial" w:hAnsi="Arial" w:eastAsia="Arial" w:cs="Arial"/>
      <w:color w:val="000000"/>
      <w:sz w:val="22"/>
      <w:szCs w:val="22"/>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10405</Words>
  <Characters>5932</Characters>
  <Lines>49</Lines>
  <Paragraphs>32</Paragraphs>
  <TotalTime>0</TotalTime>
  <ScaleCrop>false</ScaleCrop>
  <LinksUpToDate>false</LinksUpToDate>
  <CharactersWithSpaces>16305</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2023-02-26T22:37:00Z</dcterms:created>
  <dc:creator>T440</dc:creator>
  <cp:lastModifiedBy>google1589453068</cp:lastModifiedBy>
  <dcterms:modified xsi:type="dcterms:W3CDTF">2023-03-20T15:43:50Z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