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90" w:rsidRDefault="00943B9D" w:rsidP="0024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  <w:bookmarkStart w:id="0" w:name="_GoBack"/>
      <w:bookmarkEnd w:id="0"/>
      <w:r w:rsidRPr="007D51BC">
        <w:rPr>
          <w:rFonts w:ascii="Times New Roman" w:hAnsi="Times New Roman" w:cs="Times New Roman"/>
          <w:sz w:val="32"/>
          <w:szCs w:val="32"/>
          <w:lang w:val="uk-UA"/>
        </w:rPr>
        <w:t>Зміни внесені до тендерної документації</w:t>
      </w:r>
      <w:r w:rsidR="00243D90" w:rsidRPr="00243D90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 </w:t>
      </w:r>
    </w:p>
    <w:p w:rsidR="00243D90" w:rsidRDefault="00243D90" w:rsidP="0024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</w:pPr>
    </w:p>
    <w:p w:rsidR="00243D90" w:rsidRPr="006A0FD5" w:rsidRDefault="00243D90" w:rsidP="0024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A0FD5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ТЕХНІЧНЕ ЗАВДАННЯ</w:t>
      </w:r>
    </w:p>
    <w:p w:rsidR="00243D90" w:rsidRPr="006A0FD5" w:rsidRDefault="00243D90" w:rsidP="00243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243D90" w:rsidRPr="006A0FD5" w:rsidRDefault="00243D90" w:rsidP="00243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A0FD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Розкидач солі, піску </w:t>
      </w:r>
      <w:proofErr w:type="spellStart"/>
      <w:r w:rsidRPr="005E5281">
        <w:rPr>
          <w:rFonts w:ascii="Times New Roman" w:hAnsi="Times New Roman" w:cs="Times New Roman"/>
          <w:b/>
          <w:i/>
          <w:sz w:val="24"/>
          <w:szCs w:val="24"/>
          <w:u w:val="single"/>
        </w:rPr>
        <w:t>Samasz</w:t>
      </w:r>
      <w:proofErr w:type="spellEnd"/>
      <w:r w:rsidRPr="006A0FD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5E5281">
        <w:rPr>
          <w:rFonts w:ascii="Times New Roman" w:hAnsi="Times New Roman" w:cs="Times New Roman"/>
          <w:b/>
          <w:i/>
          <w:sz w:val="24"/>
          <w:szCs w:val="24"/>
          <w:u w:val="single"/>
        </w:rPr>
        <w:t>SAHARA</w:t>
      </w:r>
      <w:r w:rsidRPr="006A0FD5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140 або еквівалент</w:t>
      </w:r>
      <w:r w:rsidRPr="006A0FD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, </w:t>
      </w:r>
    </w:p>
    <w:p w:rsidR="00243D90" w:rsidRPr="005E5281" w:rsidRDefault="00243D90" w:rsidP="00243D9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5E5281">
        <w:rPr>
          <w:rFonts w:ascii="Times New Roman" w:hAnsi="Times New Roman" w:cs="Times New Roman"/>
          <w:b/>
          <w:u w:val="single"/>
        </w:rPr>
        <w:t>згідно</w:t>
      </w:r>
      <w:proofErr w:type="spellEnd"/>
      <w:r w:rsidRPr="005E5281">
        <w:rPr>
          <w:rFonts w:ascii="Times New Roman" w:hAnsi="Times New Roman" w:cs="Times New Roman"/>
          <w:b/>
          <w:u w:val="single"/>
        </w:rPr>
        <w:t xml:space="preserve"> коду ДК 021 2015: 34390000-7 - </w:t>
      </w:r>
      <w:proofErr w:type="spellStart"/>
      <w:r w:rsidRPr="005E5281">
        <w:rPr>
          <w:rFonts w:ascii="Times New Roman" w:hAnsi="Times New Roman" w:cs="Times New Roman"/>
          <w:b/>
          <w:u w:val="single"/>
        </w:rPr>
        <w:t>Приладдя</w:t>
      </w:r>
      <w:proofErr w:type="spellEnd"/>
      <w:r w:rsidRPr="005E5281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5E5281">
        <w:rPr>
          <w:rFonts w:ascii="Times New Roman" w:hAnsi="Times New Roman" w:cs="Times New Roman"/>
          <w:b/>
          <w:u w:val="single"/>
        </w:rPr>
        <w:t>до</w:t>
      </w:r>
      <w:proofErr w:type="gramEnd"/>
      <w:r w:rsidRPr="005E528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proofErr w:type="gramStart"/>
      <w:r w:rsidRPr="005E5281">
        <w:rPr>
          <w:rFonts w:ascii="Times New Roman" w:hAnsi="Times New Roman" w:cs="Times New Roman"/>
          <w:b/>
          <w:u w:val="single"/>
        </w:rPr>
        <w:t>трактор</w:t>
      </w:r>
      <w:proofErr w:type="gramEnd"/>
      <w:r w:rsidRPr="005E5281">
        <w:rPr>
          <w:rFonts w:ascii="Times New Roman" w:hAnsi="Times New Roman" w:cs="Times New Roman"/>
          <w:b/>
          <w:u w:val="single"/>
        </w:rPr>
        <w:t>ів</w:t>
      </w:r>
      <w:proofErr w:type="spellEnd"/>
      <w:r w:rsidRPr="005E528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E5281">
        <w:rPr>
          <w:rFonts w:ascii="Times New Roman" w:hAnsi="Times New Roman" w:cs="Times New Roman"/>
          <w:b/>
          <w:u w:val="single"/>
        </w:rPr>
        <w:t>Єдиного</w:t>
      </w:r>
      <w:proofErr w:type="spellEnd"/>
      <w:r w:rsidRPr="005E5281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5E5281">
        <w:rPr>
          <w:rFonts w:ascii="Times New Roman" w:hAnsi="Times New Roman" w:cs="Times New Roman"/>
          <w:b/>
          <w:u w:val="single"/>
        </w:rPr>
        <w:t>закупівельного</w:t>
      </w:r>
      <w:proofErr w:type="spellEnd"/>
      <w:r w:rsidRPr="005E5281">
        <w:rPr>
          <w:rFonts w:ascii="Times New Roman" w:hAnsi="Times New Roman" w:cs="Times New Roman"/>
          <w:b/>
          <w:u w:val="single"/>
        </w:rPr>
        <w:t xml:space="preserve"> словника</w:t>
      </w:r>
    </w:p>
    <w:p w:rsidR="00366993" w:rsidRPr="00243D90" w:rsidRDefault="00243D90" w:rsidP="00243D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3D90">
        <w:rPr>
          <w:rFonts w:ascii="Times New Roman" w:hAnsi="Times New Roman" w:cs="Times New Roman"/>
          <w:sz w:val="28"/>
          <w:szCs w:val="28"/>
          <w:lang w:val="uk-UA"/>
        </w:rPr>
        <w:t>Доповнено:</w:t>
      </w:r>
    </w:p>
    <w:p w:rsidR="00243D90" w:rsidRPr="008D3750" w:rsidRDefault="00243D90" w:rsidP="00243D90">
      <w:pPr>
        <w:spacing w:before="120" w:after="24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самостійно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визначає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3750">
        <w:rPr>
          <w:rFonts w:ascii="Times New Roman" w:eastAsia="Times New Roman" w:hAnsi="Times New Roman" w:cs="Times New Roman"/>
          <w:sz w:val="24"/>
          <w:szCs w:val="24"/>
        </w:rPr>
        <w:t>техн</w:t>
      </w:r>
      <w:proofErr w:type="gramEnd"/>
      <w:r w:rsidRPr="008D375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предмета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огляду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специфіку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предмета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керуючись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принципами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та з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дотриманням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sz w:val="24"/>
          <w:szCs w:val="24"/>
        </w:rPr>
        <w:t>законодавства</w:t>
      </w:r>
      <w:proofErr w:type="spellEnd"/>
      <w:r w:rsidRPr="008D37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3D90" w:rsidRPr="008D3750" w:rsidRDefault="00243D90" w:rsidP="00243D9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місцях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де </w:t>
      </w:r>
      <w:proofErr w:type="spellStart"/>
      <w:proofErr w:type="gram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техн</w:t>
      </w:r>
      <w:proofErr w:type="gram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ічна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специфікація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містить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посилання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конкретні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марку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виробника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конкретний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процес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що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характеризує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продукт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послугу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певного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суб’єкта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господарювання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торгові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марки,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патенти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типи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конкретне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місце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походження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спосіб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виробництва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вважати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вираз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 «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еквівалент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».</w:t>
      </w:r>
    </w:p>
    <w:p w:rsidR="00243D90" w:rsidRPr="008D3750" w:rsidRDefault="00243D90" w:rsidP="00243D9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3D90" w:rsidRPr="00F4370D" w:rsidRDefault="00243D90" w:rsidP="00243D90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місцях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де </w:t>
      </w:r>
      <w:proofErr w:type="spellStart"/>
      <w:proofErr w:type="gram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техн</w:t>
      </w:r>
      <w:proofErr w:type="gram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ічна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специфікація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містить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посилання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стандартні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характеристики,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технічні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регламенти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умови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вимоги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умовні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позначення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термінологію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пов’язані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з товарами, роботами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послугами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що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закуповуються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передбачені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існуючими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міжнародними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стандартами,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іншими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спільними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технічними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нормами,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іншими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технічними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еталонними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системами,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визнаними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європейськими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зі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стандартизації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національними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стандартами, нормами та правилами, </w:t>
      </w:r>
      <w:proofErr w:type="spellStart"/>
      <w:proofErr w:type="gram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іля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кожного такого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посилання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вважати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вираз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або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>еквівалент</w:t>
      </w:r>
      <w:proofErr w:type="spellEnd"/>
      <w:r w:rsidRPr="008D3750">
        <w:rPr>
          <w:rFonts w:ascii="Times New Roman" w:eastAsia="Times New Roman" w:hAnsi="Times New Roman" w:cs="Times New Roman"/>
          <w:i/>
          <w:sz w:val="24"/>
          <w:szCs w:val="24"/>
        </w:rPr>
        <w:t xml:space="preserve">». </w:t>
      </w:r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Таким чином, </w:t>
      </w:r>
      <w:proofErr w:type="spellStart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>вважається</w:t>
      </w:r>
      <w:proofErr w:type="spellEnd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>що</w:t>
      </w:r>
      <w:proofErr w:type="spellEnd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 </w:t>
      </w:r>
      <w:proofErr w:type="gramStart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>кожного</w:t>
      </w:r>
      <w:proofErr w:type="gramEnd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>посилання</w:t>
      </w:r>
      <w:proofErr w:type="spellEnd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>додається</w:t>
      </w:r>
      <w:proofErr w:type="spellEnd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>вираз</w:t>
      </w:r>
      <w:proofErr w:type="spellEnd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proofErr w:type="spellStart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>або</w:t>
      </w:r>
      <w:proofErr w:type="spellEnd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>еквівалент</w:t>
      </w:r>
      <w:proofErr w:type="spellEnd"/>
      <w:r w:rsidRPr="008D3750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243D90" w:rsidRPr="00243D90" w:rsidRDefault="00243D90" w:rsidP="00243D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3D90">
        <w:rPr>
          <w:rFonts w:ascii="Times New Roman" w:hAnsi="Times New Roman" w:cs="Times New Roman"/>
          <w:sz w:val="28"/>
          <w:szCs w:val="28"/>
          <w:lang w:val="uk-UA"/>
        </w:rPr>
        <w:t>Стара редакція:</w:t>
      </w:r>
    </w:p>
    <w:tbl>
      <w:tblPr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243D90" w:rsidRPr="00C52414" w:rsidTr="003C0B73">
        <w:trPr>
          <w:trHeight w:val="373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C52414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C52414" w:rsidRDefault="00243D90" w:rsidP="003C0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Новий</w:t>
            </w:r>
            <w:proofErr w:type="spellEnd"/>
          </w:p>
        </w:tc>
      </w:tr>
      <w:tr w:rsidR="00243D90" w:rsidRPr="00C52414" w:rsidTr="003C0B73">
        <w:trPr>
          <w:trHeight w:val="428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C52414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C52414" w:rsidRDefault="00243D90" w:rsidP="003C0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2021-2023 роки</w:t>
            </w:r>
          </w:p>
        </w:tc>
      </w:tr>
      <w:tr w:rsidR="00243D90" w:rsidRPr="00C52414" w:rsidTr="003C0B73">
        <w:trPr>
          <w:trHeight w:val="349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C52414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C52414" w:rsidRDefault="00243D90" w:rsidP="003C0B7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Не </w:t>
            </w:r>
            <w:proofErr w:type="spellStart"/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менше</w:t>
            </w:r>
            <w:proofErr w:type="spellEnd"/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12 </w:t>
            </w:r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місяців</w:t>
            </w:r>
            <w:proofErr w:type="spellEnd"/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ік</w:t>
            </w:r>
            <w:proofErr w:type="spellEnd"/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243D90" w:rsidRPr="00C52414" w:rsidTr="003C0B73">
        <w:trPr>
          <w:trHeight w:val="528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C52414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3476F9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34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C52414" w:rsidRDefault="00243D90" w:rsidP="003C0B73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highlight w:val="magenta"/>
              </w:rPr>
            </w:pPr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23300,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Вінницька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область,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смт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Тиврів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Жовтнева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6</w:t>
            </w:r>
          </w:p>
        </w:tc>
      </w:tr>
      <w:tr w:rsidR="00243D90" w:rsidRPr="00C52414" w:rsidTr="003C0B73">
        <w:trPr>
          <w:trHeight w:val="142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C52414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5241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Строк поставки товару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C52414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</w:pPr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до 31.12.2023 року </w:t>
            </w:r>
            <w:proofErr w:type="spellStart"/>
            <w:r w:rsidRPr="00C52414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включно</w:t>
            </w:r>
            <w:proofErr w:type="spellEnd"/>
          </w:p>
        </w:tc>
      </w:tr>
    </w:tbl>
    <w:p w:rsidR="00243D90" w:rsidRPr="00243D90" w:rsidRDefault="00243D90" w:rsidP="00243D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3D90">
        <w:rPr>
          <w:rFonts w:ascii="Times New Roman" w:hAnsi="Times New Roman" w:cs="Times New Roman"/>
          <w:sz w:val="28"/>
          <w:szCs w:val="28"/>
          <w:lang w:val="uk-UA"/>
        </w:rPr>
        <w:t>Нова редакція:</w:t>
      </w:r>
    </w:p>
    <w:tbl>
      <w:tblPr>
        <w:tblW w:w="960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243D90" w:rsidRPr="008D3750" w:rsidTr="003C0B7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8D3750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</w:t>
            </w:r>
            <w:proofErr w:type="gram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8D3750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Розкидач</w:t>
            </w:r>
            <w:proofErr w:type="spellEnd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солі</w:t>
            </w:r>
            <w:proofErr w:type="spellEnd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іску</w:t>
            </w:r>
            <w:proofErr w:type="spellEnd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Samasz</w:t>
            </w:r>
            <w:proofErr w:type="spellEnd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SAHARA 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</w:p>
        </w:tc>
      </w:tr>
      <w:tr w:rsidR="00243D90" w:rsidRPr="008D3750" w:rsidTr="003C0B7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8D3750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630E32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34390000-7 - </w:t>
            </w:r>
            <w:proofErr w:type="spellStart"/>
            <w:r w:rsidRPr="00F437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Приладдя</w:t>
            </w:r>
            <w:proofErr w:type="spellEnd"/>
            <w:r w:rsidRPr="00F4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370D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437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70D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тракторів</w:t>
            </w:r>
            <w:proofErr w:type="spellEnd"/>
          </w:p>
        </w:tc>
      </w:tr>
      <w:tr w:rsidR="00243D90" w:rsidRPr="008D3750" w:rsidTr="003C0B7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8D3750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8D3750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</w:t>
            </w:r>
            <w:proofErr w:type="spellEnd"/>
          </w:p>
        </w:tc>
      </w:tr>
      <w:tr w:rsidR="00243D90" w:rsidRPr="008D3750" w:rsidTr="003C0B7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8D3750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Місце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BF3830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23300,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Вінницька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область,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смт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Тиврів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Жовтнева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6</w:t>
            </w:r>
          </w:p>
        </w:tc>
      </w:tr>
      <w:tr w:rsidR="00243D90" w:rsidRPr="008D3750" w:rsidTr="003C0B73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8D3750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поставки товару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D90" w:rsidRPr="008D3750" w:rsidRDefault="00243D90" w:rsidP="003C0B7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 w:rsidRPr="00A2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257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дати</w:t>
            </w:r>
            <w:proofErr w:type="spellEnd"/>
            <w:r w:rsidRPr="00A2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574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74A">
              <w:rPr>
                <w:rFonts w:ascii="Times New Roman" w:eastAsia="Times New Roman" w:hAnsi="Times New Roman" w:cs="Times New Roman"/>
                <w:sz w:val="24"/>
                <w:szCs w:val="24"/>
              </w:rPr>
              <w:t>ідписання</w:t>
            </w:r>
            <w:proofErr w:type="spellEnd"/>
            <w:r w:rsidRPr="00A257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</w:tr>
    </w:tbl>
    <w:p w:rsidR="00243D90" w:rsidRDefault="00243D90" w:rsidP="00243D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Стара редакція:</w:t>
      </w:r>
    </w:p>
    <w:tbl>
      <w:tblPr>
        <w:tblW w:w="0" w:type="auto"/>
        <w:tblCellSpacing w:w="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8611"/>
      </w:tblGrid>
      <w:tr w:rsidR="00243D90" w:rsidRPr="005E5281" w:rsidTr="003C0B73">
        <w:trPr>
          <w:trHeight w:val="850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з/</w:t>
            </w:r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ічних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якісних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наведені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нижче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містять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вираз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еквівалент</w:t>
            </w:r>
            <w:proofErr w:type="spellEnd"/>
          </w:p>
        </w:tc>
      </w:tr>
      <w:tr w:rsidR="00243D90" w:rsidRPr="005E5281" w:rsidTr="003C0B73">
        <w:trPr>
          <w:trHeight w:val="273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Розкидач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солі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іску</w:t>
            </w:r>
            <w:proofErr w:type="spellEnd"/>
          </w:p>
        </w:tc>
      </w:tr>
      <w:tr w:rsidR="00243D90" w:rsidRPr="005E5281" w:rsidTr="003C0B73">
        <w:trPr>
          <w:trHeight w:val="288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tabs>
                <w:tab w:val="left" w:pos="187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Країна</w:t>
            </w:r>
            <w:proofErr w:type="spellEnd"/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походження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</w:t>
            </w:r>
          </w:p>
        </w:tc>
      </w:tr>
      <w:tr w:rsidR="00243D90" w:rsidRPr="005E5281" w:rsidTr="003C0B73">
        <w:trPr>
          <w:trHeight w:val="1487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Базові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вимоги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машини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</w:t>
            </w:r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така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була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використанні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раніше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2023 року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випуску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стандартному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заводському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виконанні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;</w:t>
            </w:r>
          </w:p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ічний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 –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повністю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непошкоджене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3D90" w:rsidRPr="005E5281" w:rsidTr="003C0B73">
        <w:trPr>
          <w:trHeight w:val="288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pStyle w:val="2049"/>
              <w:widowControl w:val="0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E5281">
              <w:rPr>
                <w:color w:val="000000"/>
              </w:rPr>
              <w:t>Робоча</w:t>
            </w:r>
            <w:proofErr w:type="spellEnd"/>
            <w:r w:rsidRPr="005E5281">
              <w:rPr>
                <w:color w:val="000000"/>
              </w:rPr>
              <w:t xml:space="preserve"> ширина  1 400 мм</w:t>
            </w:r>
          </w:p>
        </w:tc>
      </w:tr>
      <w:tr w:rsidR="00243D90" w:rsidRPr="005E5281" w:rsidTr="003C0B73">
        <w:trPr>
          <w:trHeight w:val="273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ширина </w:t>
            </w:r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- 1 650 мм</w:t>
            </w:r>
          </w:p>
        </w:tc>
      </w:tr>
      <w:tr w:rsidR="00243D90" w:rsidRPr="005E5281" w:rsidTr="003C0B73">
        <w:trPr>
          <w:trHeight w:val="562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гідравлічних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з’єднань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- 4 (2x2 пари)</w:t>
            </w:r>
          </w:p>
        </w:tc>
      </w:tr>
      <w:tr w:rsidR="00243D90" w:rsidRPr="005E5281" w:rsidTr="003C0B73">
        <w:trPr>
          <w:trHeight w:val="288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Категорія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3-точкової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наві</w:t>
            </w:r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</w:t>
            </w:r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гірше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 II</w:t>
            </w:r>
          </w:p>
        </w:tc>
      </w:tr>
      <w:tr w:rsidR="00243D90" w:rsidRPr="005E5281" w:rsidTr="003C0B73">
        <w:trPr>
          <w:trHeight w:val="288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Потужність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трактора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3D90" w:rsidRPr="005E5281" w:rsidTr="003C0B73">
        <w:trPr>
          <w:trHeight w:val="389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Робоча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швидкість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15 км/год</w:t>
            </w:r>
          </w:p>
        </w:tc>
      </w:tr>
      <w:tr w:rsidR="00243D90" w:rsidRPr="005E5281" w:rsidTr="003C0B73">
        <w:trPr>
          <w:trHeight w:val="411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 w:line="27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</w:t>
            </w:r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швидкість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-25 км/год </w:t>
            </w:r>
          </w:p>
        </w:tc>
      </w:tr>
      <w:tr w:rsidR="00243D90" w:rsidRPr="005E5281" w:rsidTr="003C0B73">
        <w:trPr>
          <w:trHeight w:val="288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масла 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160 бар</w:t>
            </w:r>
          </w:p>
        </w:tc>
      </w:tr>
      <w:tr w:rsidR="00243D90" w:rsidRPr="005E5281" w:rsidTr="003C0B73">
        <w:trPr>
          <w:trHeight w:val="273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pStyle w:val="1934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5E5281">
              <w:rPr>
                <w:color w:val="000000"/>
              </w:rPr>
              <w:t>Об’є</w:t>
            </w:r>
            <w:proofErr w:type="gramStart"/>
            <w:r w:rsidRPr="005E5281">
              <w:rPr>
                <w:color w:val="000000"/>
              </w:rPr>
              <w:t>м</w:t>
            </w:r>
            <w:proofErr w:type="spellEnd"/>
            <w:proofErr w:type="gramEnd"/>
            <w:r w:rsidRPr="005E5281">
              <w:rPr>
                <w:color w:val="000000"/>
              </w:rPr>
              <w:t xml:space="preserve"> </w:t>
            </w:r>
            <w:r w:rsidRPr="005E5281">
              <w:rPr>
                <w:color w:val="000000"/>
                <w:lang w:val="uk-UA"/>
              </w:rPr>
              <w:t xml:space="preserve">не менше - </w:t>
            </w:r>
            <w:r w:rsidRPr="005E5281">
              <w:rPr>
                <w:color w:val="000000"/>
              </w:rPr>
              <w:t>0,5 (м³)</w:t>
            </w:r>
          </w:p>
        </w:tc>
      </w:tr>
      <w:tr w:rsidR="00243D90" w:rsidRPr="005E5281" w:rsidTr="003C0B73">
        <w:trPr>
          <w:trHeight w:val="288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Довжина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- 900 мм</w:t>
            </w:r>
          </w:p>
        </w:tc>
      </w:tr>
      <w:tr w:rsidR="00243D90" w:rsidRPr="005E5281" w:rsidTr="003C0B73">
        <w:trPr>
          <w:trHeight w:val="288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Висота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- 100 мм</w:t>
            </w:r>
          </w:p>
        </w:tc>
      </w:tr>
      <w:tr w:rsidR="00243D90" w:rsidRPr="005E5281" w:rsidTr="003C0B73">
        <w:trPr>
          <w:trHeight w:val="321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Ємність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соляного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розчину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- 2000 л.</w:t>
            </w:r>
          </w:p>
        </w:tc>
      </w:tr>
      <w:tr w:rsidR="00243D90" w:rsidRPr="005E5281" w:rsidTr="003C0B73">
        <w:trPr>
          <w:trHeight w:val="288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 </w:t>
            </w:r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ільше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280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кілограм</w:t>
            </w:r>
            <w:proofErr w:type="spellEnd"/>
          </w:p>
        </w:tc>
      </w:tr>
      <w:tr w:rsidR="00243D90" w:rsidRPr="005E5281" w:rsidTr="003C0B73">
        <w:trPr>
          <w:trHeight w:val="273"/>
          <w:tblCellSpacing w:w="0" w:type="dxa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43D90" w:rsidRPr="005E5281" w:rsidRDefault="00243D90" w:rsidP="003C0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Вага з </w:t>
            </w:r>
            <w:proofErr w:type="spellStart"/>
            <w:proofErr w:type="gram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іском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5E52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1 070 кг</w:t>
            </w:r>
          </w:p>
        </w:tc>
      </w:tr>
    </w:tbl>
    <w:p w:rsidR="00243D90" w:rsidRPr="00243D90" w:rsidRDefault="00243D90" w:rsidP="00243D90">
      <w:pPr>
        <w:rPr>
          <w:rFonts w:ascii="Times New Roman" w:hAnsi="Times New Roman" w:cs="Times New Roman"/>
          <w:sz w:val="28"/>
          <w:szCs w:val="28"/>
        </w:rPr>
      </w:pPr>
    </w:p>
    <w:p w:rsidR="00243D90" w:rsidRPr="00243D90" w:rsidRDefault="00243D90" w:rsidP="00243D9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3D90">
        <w:rPr>
          <w:rFonts w:ascii="Times New Roman" w:hAnsi="Times New Roman" w:cs="Times New Roman"/>
          <w:sz w:val="28"/>
          <w:szCs w:val="28"/>
          <w:lang w:val="uk-UA"/>
        </w:rPr>
        <w:t>Нова реда</w:t>
      </w:r>
      <w:r>
        <w:rPr>
          <w:rFonts w:ascii="Times New Roman" w:hAnsi="Times New Roman" w:cs="Times New Roman"/>
          <w:sz w:val="28"/>
          <w:szCs w:val="28"/>
          <w:lang w:val="uk-UA"/>
        </w:rPr>
        <w:t>кція: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5265"/>
        <w:gridCol w:w="3695"/>
      </w:tblGrid>
      <w:tr w:rsidR="00243D90" w:rsidRPr="003E2A70" w:rsidTr="003C0B73">
        <w:tc>
          <w:tcPr>
            <w:tcW w:w="680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№ з/</w:t>
            </w:r>
            <w:proofErr w:type="gram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65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ічних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якісних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наведені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вираз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еквівалент</w:t>
            </w:r>
            <w:proofErr w:type="spellEnd"/>
          </w:p>
        </w:tc>
        <w:tc>
          <w:tcPr>
            <w:tcW w:w="3695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заповнюється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чітким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 по кожному пункту)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3D90" w:rsidRPr="003E2A70" w:rsidTr="003C0B73">
        <w:tc>
          <w:tcPr>
            <w:tcW w:w="9640" w:type="dxa"/>
            <w:gridSpan w:val="3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5" w:type="dxa"/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Розкидач</w:t>
            </w:r>
            <w:proofErr w:type="spellEnd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солі</w:t>
            </w:r>
            <w:proofErr w:type="spellEnd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іску</w:t>
            </w:r>
            <w:proofErr w:type="spellEnd"/>
          </w:p>
        </w:tc>
        <w:tc>
          <w:tcPr>
            <w:tcW w:w="3695" w:type="dxa"/>
            <w:shd w:val="clear" w:color="auto" w:fill="auto"/>
          </w:tcPr>
          <w:p w:rsidR="00243D90" w:rsidRPr="00CC0A6B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Вказат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марку, модель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випуску</w:t>
            </w:r>
            <w:proofErr w:type="spellEnd"/>
          </w:p>
        </w:tc>
      </w:tr>
      <w:tr w:rsidR="00243D90" w:rsidRPr="003E2A70" w:rsidTr="003C0B73">
        <w:tc>
          <w:tcPr>
            <w:tcW w:w="680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5" w:type="dxa"/>
            <w:shd w:val="clear" w:color="auto" w:fill="auto"/>
          </w:tcPr>
          <w:p w:rsidR="00243D90" w:rsidRPr="009E37B9" w:rsidRDefault="00243D90" w:rsidP="003C0B73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proofErr w:type="gram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походження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</w:t>
            </w:r>
          </w:p>
        </w:tc>
        <w:tc>
          <w:tcPr>
            <w:tcW w:w="3695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5" w:type="dxa"/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Базові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машини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gram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випуску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243D90" w:rsidRPr="00630E32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 стандартному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заводському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виконанні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ічний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 –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повністю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непошкоджене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5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65" w:type="dxa"/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ширина  </w:t>
            </w:r>
          </w:p>
        </w:tc>
        <w:tc>
          <w:tcPr>
            <w:tcW w:w="3695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1 400 мм</w:t>
            </w:r>
          </w:p>
        </w:tc>
      </w:tr>
      <w:tr w:rsidR="00243D90" w:rsidRPr="003E2A70" w:rsidTr="003C0B73">
        <w:tc>
          <w:tcPr>
            <w:tcW w:w="680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5" w:type="dxa"/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ширина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- 1 650 мм</w:t>
            </w:r>
          </w:p>
        </w:tc>
        <w:tc>
          <w:tcPr>
            <w:tcW w:w="3695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shd w:val="clear" w:color="auto" w:fill="auto"/>
          </w:tcPr>
          <w:p w:rsidR="00243D90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5" w:type="dxa"/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гідравлічних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з'єднань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 (</w:t>
            </w:r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2x2 пари)</w:t>
            </w:r>
          </w:p>
        </w:tc>
        <w:tc>
          <w:tcPr>
            <w:tcW w:w="3695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5" w:type="dxa"/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</w:t>
            </w:r>
            <w:proofErr w:type="spellEnd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3-точкової </w:t>
            </w:r>
            <w:proofErr w:type="spell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наві</w:t>
            </w:r>
            <w:proofErr w:type="gramStart"/>
            <w:r w:rsidRPr="00E70466">
              <w:rPr>
                <w:rFonts w:ascii="Times New Roman" w:eastAsia="Times New Roman" w:hAnsi="Times New Roman" w:cs="Times New Roman"/>
                <w:sz w:val="24"/>
                <w:szCs w:val="24"/>
              </w:rPr>
              <w:t>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гірше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95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5" w:type="dxa"/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rPr>
          <w:trHeight w:val="285"/>
        </w:trPr>
        <w:tc>
          <w:tcPr>
            <w:tcW w:w="680" w:type="dxa"/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5" w:type="dxa"/>
            <w:shd w:val="clear" w:color="auto" w:fill="auto"/>
          </w:tcPr>
          <w:p w:rsidR="00243D90" w:rsidRPr="00CC0A6B" w:rsidRDefault="00243D90" w:rsidP="003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 км/год</w:t>
            </w:r>
          </w:p>
        </w:tc>
        <w:tc>
          <w:tcPr>
            <w:tcW w:w="3695" w:type="dxa"/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CC0A6B" w:rsidRDefault="00243D90" w:rsidP="003C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швидкість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-25 км/год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масла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160 бар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Об’є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0,5 </w:t>
            </w:r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(м³)</w:t>
            </w:r>
          </w:p>
        </w:tc>
      </w:tr>
      <w:tr w:rsidR="00243D90" w:rsidRPr="003E2A70" w:rsidTr="003C0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- 900 мм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- 100 мм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1C15FB" w:rsidRDefault="00243D90" w:rsidP="003C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15FB">
              <w:rPr>
                <w:rFonts w:ascii="Times New Roman" w:eastAsia="Times New Roman" w:hAnsi="Times New Roman" w:cs="Times New Roman"/>
                <w:sz w:val="24"/>
                <w:szCs w:val="24"/>
              </w:rPr>
              <w:t>Ємність</w:t>
            </w:r>
            <w:proofErr w:type="spellEnd"/>
            <w:r w:rsidRPr="001C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соляного </w:t>
            </w:r>
            <w:proofErr w:type="spellStart"/>
            <w:r w:rsidRPr="001C15FB">
              <w:rPr>
                <w:rFonts w:ascii="Times New Roman" w:eastAsia="Times New Roman" w:hAnsi="Times New Roman" w:cs="Times New Roman"/>
                <w:sz w:val="24"/>
                <w:szCs w:val="24"/>
              </w:rPr>
              <w:t>розчину</w:t>
            </w:r>
            <w:proofErr w:type="spellEnd"/>
            <w:r w:rsidRPr="001C15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C15FB">
              <w:rPr>
                <w:rFonts w:ascii="Times New Roman" w:eastAsia="Times New Roman" w:hAnsi="Times New Roman" w:cs="Times New Roman"/>
                <w:sz w:val="24"/>
                <w:szCs w:val="24"/>
              </w:rPr>
              <w:t>2000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1C15FB" w:rsidRDefault="00243D90" w:rsidP="003C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3E2A70" w:rsidTr="003C0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кілограм</w:t>
            </w:r>
            <w:proofErr w:type="spellEnd"/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1C15FB" w:rsidRDefault="00243D90" w:rsidP="003C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D90" w:rsidRPr="00E767E8" w:rsidTr="003C0B7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9E37B9" w:rsidRDefault="00243D90" w:rsidP="003C0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Вага з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1 070 кг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D90" w:rsidRPr="001C15FB" w:rsidRDefault="00243D90" w:rsidP="003C0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3D90" w:rsidRDefault="00243D90" w:rsidP="00243D90">
      <w:pPr>
        <w:rPr>
          <w:rFonts w:ascii="Times New Roman" w:hAnsi="Times New Roman" w:cs="Times New Roman"/>
          <w:lang w:val="uk-UA"/>
        </w:rPr>
      </w:pPr>
    </w:p>
    <w:p w:rsidR="00243D90" w:rsidRDefault="00243D90" w:rsidP="00243D90">
      <w:pPr>
        <w:rPr>
          <w:rFonts w:ascii="Times New Roman" w:hAnsi="Times New Roman" w:cs="Times New Roman"/>
          <w:lang w:val="uk-UA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43D90" w:rsidTr="00243D90">
        <w:tc>
          <w:tcPr>
            <w:tcW w:w="4785" w:type="dxa"/>
          </w:tcPr>
          <w:p w:rsidR="00243D90" w:rsidRDefault="00243D90" w:rsidP="00243D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Стара редакція</w:t>
            </w:r>
          </w:p>
        </w:tc>
        <w:tc>
          <w:tcPr>
            <w:tcW w:w="4786" w:type="dxa"/>
          </w:tcPr>
          <w:p w:rsidR="00243D90" w:rsidRDefault="00243D90" w:rsidP="00243D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Нова редакція</w:t>
            </w:r>
          </w:p>
        </w:tc>
      </w:tr>
      <w:tr w:rsidR="00243D90" w:rsidTr="00243D90">
        <w:tc>
          <w:tcPr>
            <w:tcW w:w="4785" w:type="dxa"/>
          </w:tcPr>
          <w:p w:rsidR="00625E1D" w:rsidRPr="00625E1D" w:rsidRDefault="00625E1D" w:rsidP="00625E1D">
            <w:pPr>
              <w:tabs>
                <w:tab w:val="left" w:pos="927"/>
              </w:tabs>
              <w:spacing w:line="100" w:lineRule="atLeast"/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625E1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Загальні вимоги:</w:t>
            </w:r>
          </w:p>
          <w:p w:rsidR="00625E1D" w:rsidRPr="00625E1D" w:rsidRDefault="00625E1D" w:rsidP="00625E1D">
            <w:pPr>
              <w:tabs>
                <w:tab w:val="left" w:pos="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25E1D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ab/>
            </w:r>
            <w:r w:rsidRPr="0062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Учасники процедури закупівлі повинні надати в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закупівлі:</w:t>
            </w:r>
          </w:p>
          <w:p w:rsidR="00625E1D" w:rsidRPr="00625E1D" w:rsidRDefault="00625E1D" w:rsidP="00625E1D">
            <w:pPr>
              <w:numPr>
                <w:ilvl w:val="0"/>
                <w:numId w:val="22"/>
              </w:numPr>
              <w:tabs>
                <w:tab w:val="left" w:pos="927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625E1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Довідка в довільній формі, яка містить інформацію про відповідність товару, що пропонує Учасник, технічному завданню замовника.</w:t>
            </w:r>
          </w:p>
          <w:p w:rsidR="00625E1D" w:rsidRPr="009D5E2D" w:rsidRDefault="00625E1D" w:rsidP="00625E1D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Довідку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детальні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</w:t>
            </w:r>
            <w:proofErr w:type="gram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ічні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характеристики та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опис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техніки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відомості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товаровиробника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країну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походження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25E1D" w:rsidRPr="009D5E2D" w:rsidRDefault="00625E1D" w:rsidP="00625E1D">
            <w:pPr>
              <w:numPr>
                <w:ilvl w:val="0"/>
                <w:numId w:val="22"/>
              </w:numPr>
              <w:tabs>
                <w:tab w:val="left" w:pos="927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термін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ісце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гарантійного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території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25E1D" w:rsidRPr="009D5E2D" w:rsidRDefault="00625E1D" w:rsidP="00625E1D">
            <w:pPr>
              <w:numPr>
                <w:ilvl w:val="0"/>
                <w:numId w:val="22"/>
              </w:numPr>
              <w:tabs>
                <w:tab w:val="left" w:pos="927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Зображення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товару,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пропонується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625E1D" w:rsidRPr="009D5E2D" w:rsidRDefault="00625E1D" w:rsidP="00625E1D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</w:pPr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Товар </w:t>
            </w:r>
            <w:proofErr w:type="gram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повинен</w:t>
            </w:r>
            <w:proofErr w:type="gram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новим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, не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бувшим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вжитку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. </w:t>
            </w:r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(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Учасник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надає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gram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складі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lastRenderedPageBreak/>
              <w:t>гарантійний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лист). </w:t>
            </w:r>
          </w:p>
          <w:p w:rsidR="00625E1D" w:rsidRPr="009D5E2D" w:rsidRDefault="00625E1D" w:rsidP="00625E1D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9D5E2D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</w:t>
            </w:r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 xml:space="preserve">оставка,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>навантаження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>розвантаження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 xml:space="preserve"> товару повинна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>здійснюватися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 xml:space="preserve"> силам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>або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>рахунок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>продавця</w:t>
            </w:r>
            <w:proofErr w:type="spellEnd"/>
            <w:r w:rsidRPr="009D5E2D">
              <w:rPr>
                <w:rFonts w:ascii="Times New Roman" w:hAnsi="Times New Roman" w:cs="Times New Roman"/>
                <w:bCs/>
                <w:color w:val="000000" w:themeColor="text1"/>
                <w:kern w:val="2"/>
                <w:sz w:val="24"/>
                <w:szCs w:val="24"/>
                <w:lang w:eastAsia="uk-UA"/>
              </w:rPr>
              <w:t xml:space="preserve">. </w:t>
            </w:r>
          </w:p>
          <w:p w:rsidR="00625E1D" w:rsidRPr="009D5E2D" w:rsidRDefault="00625E1D" w:rsidP="00625E1D">
            <w:pPr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поставки товару: </w:t>
            </w:r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23300,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Вінницька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область,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смт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Тиврів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вул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Жовтнева</w:t>
            </w:r>
            <w:proofErr w:type="spellEnd"/>
            <w:r w:rsidRPr="004F4E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6</w:t>
            </w:r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Учасник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надає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у</w:t>
            </w:r>
            <w:proofErr w:type="gram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складі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відповідний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>гарантійний</w:t>
            </w:r>
            <w:proofErr w:type="spellEnd"/>
            <w:r w:rsidRPr="009D5E2D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 лист).</w:t>
            </w:r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625E1D" w:rsidRPr="009D5E2D" w:rsidRDefault="00625E1D" w:rsidP="00625E1D">
            <w:pPr>
              <w:ind w:left="64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  <w:p w:rsidR="00625E1D" w:rsidRPr="009D5E2D" w:rsidRDefault="00625E1D" w:rsidP="00625E1D">
            <w:pPr>
              <w:tabs>
                <w:tab w:val="left" w:pos="225"/>
                <w:tab w:val="left" w:pos="4365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</w:pPr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ab/>
            </w:r>
            <w:r w:rsidRPr="002155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x-none"/>
              </w:rPr>
              <w:t xml:space="preserve">         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x-none"/>
              </w:rPr>
              <w:t>Таблиця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x-none"/>
              </w:rPr>
              <w:t xml:space="preserve"> № 1 “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x-none"/>
              </w:rPr>
              <w:t>Основні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x-none"/>
              </w:rPr>
              <w:t>робочі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x-none"/>
              </w:rPr>
              <w:t>хар</w:t>
            </w:r>
            <w:r w:rsidRPr="002155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x-none"/>
              </w:rPr>
              <w:t>актеристики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x-none" w:eastAsia="x-none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заповню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є</w:t>
            </w:r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ться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учасником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в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стовбці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«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Підтвердження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вимог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учасником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», де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потрібно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зазначити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конкретне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значення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хара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к</w:t>
            </w:r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теристик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обладн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а</w:t>
            </w:r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ння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,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що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пропонується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.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Технічні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,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якісні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характеристики товару за предметом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закупівлі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повинні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відповідати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чинним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нормативним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актам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діючого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законодавства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України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(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державним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стандартам,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технічним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умовам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тощо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),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що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підтверджується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сертифікатом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відповідності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та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декларацією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відповідність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вимогам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технічного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регламенту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безпеки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машин.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Оригінали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або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завірені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печаткою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постачальника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копії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сертифіката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відповідності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та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декларації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про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відповідність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вимогам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технічного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регламенту </w:t>
            </w:r>
            <w:proofErr w:type="spellStart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безпеки</w:t>
            </w:r>
            <w:proofErr w:type="spellEnd"/>
            <w:r w:rsidRPr="009D5E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машин</w:t>
            </w:r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дійсні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на дату поставки товару,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подаються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учасниками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 у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складі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тендерної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пропозиції</w:t>
            </w:r>
            <w:proofErr w:type="spellEnd"/>
            <w:r w:rsidRPr="009D5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.</w:t>
            </w:r>
          </w:p>
          <w:p w:rsidR="00625E1D" w:rsidRPr="00DD3B17" w:rsidRDefault="00625E1D" w:rsidP="00625E1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5E1D" w:rsidRDefault="00625E1D" w:rsidP="00625E1D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Документами,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ідтверджують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відповідність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технічним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якісним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кількісним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іншим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вимогам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щодо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предмета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документації</w:t>
            </w:r>
            <w:proofErr w:type="spellEnd"/>
            <w:r w:rsidRPr="00DD3B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технічна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специфікація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складена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Таблиці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вимогами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формою та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змістом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додатка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25E1D" w:rsidRPr="002155B3" w:rsidRDefault="00625E1D" w:rsidP="00625E1D">
            <w:pPr>
              <w:shd w:val="clear" w:color="auto" w:fill="FFFFFF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white"/>
              </w:rPr>
            </w:pPr>
          </w:p>
          <w:p w:rsidR="00625E1D" w:rsidRPr="002155B3" w:rsidRDefault="00625E1D" w:rsidP="00625E1D">
            <w:pPr>
              <w:numPr>
                <w:ilvl w:val="0"/>
                <w:numId w:val="21"/>
              </w:numPr>
              <w:shd w:val="clear" w:color="auto" w:fill="FFFFFF"/>
              <w:ind w:left="566" w:firstLine="566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white"/>
              </w:rPr>
            </w:pP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Замовникам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забороняється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здійснювати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</w:t>
            </w:r>
            <w:proofErr w:type="gram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походженням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Російської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Федерації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Республіки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Білорусь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(за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винятком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необхідних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ремонту та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обслуговування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придбаних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набрання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чинності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постановою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Кабінету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Міністрів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жовтня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2022 р. № 1178 “Про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затвердження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особливостей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публічних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закупівель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товарів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робіт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послуг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замовників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передбачених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Законом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“Про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публічні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закупі</w:t>
            </w:r>
            <w:proofErr w:type="gram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вл</w:t>
            </w:r>
            <w:proofErr w:type="gram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”, на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період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дії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правового режиму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воєнного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стану в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Україні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90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днів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 дня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припинення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скасування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” (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Офіційний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вісник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України</w:t>
            </w:r>
            <w:proofErr w:type="spellEnd"/>
            <w:r w:rsidRPr="002155B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 2022 р., № 84, ст. 5176).</w:t>
            </w:r>
          </w:p>
          <w:p w:rsidR="00625E1D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5E1D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5E1D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5E1D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5E1D" w:rsidRPr="002155B3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highlight w:val="white"/>
              </w:rPr>
            </w:pPr>
          </w:p>
          <w:p w:rsidR="00625E1D" w:rsidRPr="002155B3" w:rsidRDefault="00625E1D" w:rsidP="00625E1D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  <w:p w:rsidR="00625E1D" w:rsidRPr="002155B3" w:rsidRDefault="00625E1D" w:rsidP="00625E1D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155B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625E1D" w:rsidRPr="002155B3" w:rsidRDefault="00625E1D" w:rsidP="00625E1D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625E1D" w:rsidRPr="00C52414" w:rsidRDefault="00625E1D" w:rsidP="00625E1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43D90" w:rsidRDefault="00243D90" w:rsidP="00243D9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625E1D" w:rsidRPr="00FF0C54" w:rsidRDefault="00625E1D" w:rsidP="0062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Обґрунтування</w:t>
            </w:r>
            <w:r w:rsidRPr="00625E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Необхідність закупівлі безпосередньо техніки Розкидач солі, піску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Samasz</w:t>
            </w:r>
            <w:proofErr w:type="spellEnd"/>
            <w:r w:rsidRPr="00625E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SAHARA</w:t>
            </w:r>
            <w:r w:rsidRPr="00625E1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140 або еквівалент пов’язана з особливостями виробничого процесу та функціями, покладеними на підприємство. Закупівля розкидача з певними технічними і якісними характеристиками обґрунтована наявними потребами замовника з огляду на віддаленість району, географічну специфіку населеного пункту, стан дорожнього покриття, помірні експлуатаційні витрати, що доволі важливо при наявному фінансуванні, а також надійність, технологічність, високий рівень безпеки та зважаючи на виділені кошти. </w:t>
            </w:r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Тому для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принципів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Закону, а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максимальної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економії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прийняв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провести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закупівлю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розкидача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певними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якісними</w:t>
            </w:r>
            <w:proofErr w:type="spellEnd"/>
            <w:r w:rsidRPr="00671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характеристиками.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625E1D" w:rsidRPr="00307DDA" w:rsidRDefault="00625E1D" w:rsidP="00625E1D">
            <w:pPr>
              <w:contextualSpacing/>
              <w:jc w:val="both"/>
              <w:rPr>
                <w:rFonts w:ascii="Times New Roman" w:hAnsi="Times New Roman" w:cs="Times New Roman"/>
                <w:spacing w:val="-5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обгрутуванням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технічних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якісних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характеристик предмету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закупівлі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можна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lastRenderedPageBreak/>
              <w:t>ознайомитись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офіційному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Тиврівської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громади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pacing w:val="-5"/>
                <w:sz w:val="24"/>
              </w:rPr>
              <w:t>посиланням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4"/>
              </w:rPr>
              <w:t xml:space="preserve">: </w:t>
            </w:r>
            <w:r w:rsidRPr="00752A90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https://tyvriv-miskrada.gov.ua/news/1698214534</w:t>
            </w:r>
          </w:p>
          <w:p w:rsidR="00625E1D" w:rsidRDefault="00625E1D" w:rsidP="0062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E1D" w:rsidRDefault="00625E1D" w:rsidP="0062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амозавантажувальний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розкидач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розроблений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іску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солі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вулицям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паркованням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кварталам та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виробничим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майданчикам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икористовується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розсипання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подрібненого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кам'яної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крихти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будівництва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ремонту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доріг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вапнування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підкислених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газонів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спортивних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майданчиків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Завдяки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такому методу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розкидач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завдає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шкоди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автомобілям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проїжджають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повз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загрожує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пішоходам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не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пошкоджує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тротуари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розсипання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солі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Розкидач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встановлюється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трактор з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триточкової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навіски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категорії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II. Дане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приводиться в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гідравлічною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системою </w:t>
            </w:r>
            <w:proofErr w:type="gram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транспортного</w:t>
            </w:r>
            <w:proofErr w:type="gram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засобу</w:t>
            </w:r>
            <w:proofErr w:type="spellEnd"/>
            <w:r w:rsidRPr="00355D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5E1D" w:rsidRDefault="00625E1D" w:rsidP="0062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5E1D" w:rsidRPr="008D3750" w:rsidRDefault="00625E1D" w:rsidP="0062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Вимоги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 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25E1D" w:rsidRPr="009E37B9" w:rsidRDefault="00625E1D" w:rsidP="0062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proofErr w:type="gram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технічним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якісним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кількісним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625E1D" w:rsidRPr="008D3750" w:rsidRDefault="00625E1D" w:rsidP="0062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E1D" w:rsidRPr="008D3750" w:rsidRDefault="00625E1D" w:rsidP="0062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  <w:proofErr w:type="spellStart"/>
            <w:proofErr w:type="gram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ічну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специфікацію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складену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9E3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Таблицею 1</w:t>
            </w:r>
            <w:r w:rsidRPr="009E37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625E1D" w:rsidRPr="008D3750" w:rsidRDefault="00625E1D" w:rsidP="00625E1D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надані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25E1D" w:rsidRPr="008D3750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розкидача</w:t>
            </w:r>
            <w:proofErr w:type="spellEnd"/>
            <w:r w:rsidRPr="009D4A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25E1D" w:rsidRPr="008D3750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арантійний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про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гарантію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місяці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25E1D" w:rsidRPr="008D3750" w:rsidRDefault="00625E1D" w:rsidP="00625E1D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гарантійного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іслягарантійного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на </w:t>
            </w:r>
            <w:proofErr w:type="spellStart"/>
            <w:r w:rsidRPr="00711B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дилерських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станціях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обслуговування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5E1D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підприємстві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ISО 9001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:2015;</w:t>
            </w:r>
          </w:p>
          <w:p w:rsidR="00625E1D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підприємстві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розкидача</w:t>
            </w:r>
            <w:proofErr w:type="spellEnd"/>
            <w:r w:rsidRPr="0050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68A">
              <w:rPr>
                <w:rFonts w:ascii="Times New Roman" w:eastAsia="Times New Roman" w:hAnsi="Times New Roman" w:cs="Times New Roman"/>
                <w:sz w:val="24"/>
                <w:szCs w:val="24"/>
              </w:rPr>
              <w:t>піску</w:t>
            </w:r>
            <w:proofErr w:type="spellEnd"/>
            <w:r w:rsidRPr="0050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668A">
              <w:rPr>
                <w:rFonts w:ascii="Times New Roman" w:eastAsia="Times New Roman" w:hAnsi="Times New Roman" w:cs="Times New Roman"/>
                <w:sz w:val="24"/>
                <w:szCs w:val="24"/>
              </w:rPr>
              <w:t>пісчано-соляних</w:t>
            </w:r>
            <w:proofErr w:type="spellEnd"/>
            <w:r w:rsidRPr="005066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668A">
              <w:rPr>
                <w:rFonts w:ascii="Times New Roman" w:eastAsia="Times New Roman" w:hAnsi="Times New Roman" w:cs="Times New Roman"/>
                <w:sz w:val="24"/>
                <w:szCs w:val="24"/>
              </w:rPr>
              <w:t>сумішей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систему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якістю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ISО 9001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:2015-10;</w:t>
            </w:r>
          </w:p>
          <w:p w:rsidR="00625E1D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розкидач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25E1D" w:rsidRPr="0038323B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адати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про те,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етапі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(у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разі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необхідності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надана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запропонованого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товару для </w:t>
            </w:r>
            <w:proofErr w:type="spellStart"/>
            <w:proofErr w:type="gram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була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надана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тендерній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25E1D" w:rsidRPr="008D3750" w:rsidRDefault="00625E1D" w:rsidP="00625E1D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(У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разі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виявлення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невідповідностей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між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тендерною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пропозицією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по факту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представленим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товаром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Замовнику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останнім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буде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винесене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ішення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про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відхилення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тендерної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учасника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торгів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оскільки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інформація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яка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була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подана в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тендерній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пропозиції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учасником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є такою,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відповідає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технічним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вимогам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встановленими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та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дійсності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відповідно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до абз.2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абз.5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2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44</w:t>
            </w:r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Постанови 1178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від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12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жовтня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2022 року «Про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затвердження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особливостей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здійснення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публічних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закупівель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товарів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робіт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і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послуг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для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замовників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передбачених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Законом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України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“Про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публічні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закупі</w:t>
            </w:r>
            <w:proofErr w:type="gram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</w:t>
            </w:r>
            <w:proofErr w:type="gram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і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”, на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період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дії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правового режиму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воєнного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стану в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Україні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та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протягом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90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днів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 дня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його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припинення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скасування</w:t>
            </w:r>
            <w:proofErr w:type="spellEnd"/>
            <w:r w:rsidRPr="0038323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»)</w:t>
            </w:r>
            <w:r w:rsidRPr="008D375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   </w:t>
            </w:r>
          </w:p>
          <w:p w:rsidR="00625E1D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адати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гарантійний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лист в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гарантує</w:t>
            </w:r>
            <w:proofErr w:type="spellEnd"/>
            <w:r w:rsidRPr="008D37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підписання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договору;</w:t>
            </w:r>
          </w:p>
          <w:p w:rsidR="00625E1D" w:rsidRPr="00F1730D" w:rsidRDefault="00625E1D" w:rsidP="00625E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E1D" w:rsidRDefault="00625E1D" w:rsidP="00625E1D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5E1D" w:rsidRDefault="00625E1D" w:rsidP="00625E1D">
            <w:pPr>
              <w:shd w:val="clear" w:color="auto" w:fill="FFFFFF"/>
              <w:ind w:firstLine="4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5E1D" w:rsidRDefault="00625E1D" w:rsidP="00625E1D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*Посада,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ініціали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та печатка</w:t>
            </w:r>
          </w:p>
          <w:p w:rsidR="00625E1D" w:rsidRDefault="00625E1D" w:rsidP="00625E1D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25E1D" w:rsidRDefault="00625E1D" w:rsidP="00625E1D">
            <w:pPr>
              <w:shd w:val="clear" w:color="auto" w:fill="FFFFFF"/>
              <w:ind w:firstLine="14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243D90" w:rsidRDefault="00243D90" w:rsidP="00243D90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25E1D" w:rsidTr="00443A53">
        <w:tc>
          <w:tcPr>
            <w:tcW w:w="9571" w:type="dxa"/>
            <w:gridSpan w:val="2"/>
          </w:tcPr>
          <w:p w:rsidR="00625E1D" w:rsidRPr="00625E1D" w:rsidRDefault="00625E1D" w:rsidP="00625E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Табличка 2 із примітками ВИЛУЧЕНО</w:t>
            </w:r>
          </w:p>
        </w:tc>
      </w:tr>
    </w:tbl>
    <w:p w:rsidR="00243D90" w:rsidRPr="00243D90" w:rsidRDefault="00243D90" w:rsidP="00243D90">
      <w:pPr>
        <w:rPr>
          <w:rFonts w:ascii="Times New Roman" w:hAnsi="Times New Roman" w:cs="Times New Roman"/>
          <w:lang w:val="uk-UA"/>
        </w:rPr>
      </w:pPr>
    </w:p>
    <w:sectPr w:rsidR="00243D90" w:rsidRPr="0024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A0B5F"/>
    <w:multiLevelType w:val="hybridMultilevel"/>
    <w:tmpl w:val="D6947D36"/>
    <w:lvl w:ilvl="0" w:tplc="E938D06A">
      <w:start w:val="3"/>
      <w:numFmt w:val="decimal"/>
      <w:lvlText w:val="%1."/>
      <w:lvlJc w:val="left"/>
      <w:pPr>
        <w:ind w:left="746" w:hanging="360"/>
      </w:pPr>
      <w:rPr>
        <w:rFonts w:ascii="Times New Roman" w:hAnsi="Times New Roman" w:cs="Times New Roman" w:hint="default"/>
        <w:w w:val="105"/>
      </w:rPr>
    </w:lvl>
    <w:lvl w:ilvl="1" w:tplc="04190019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1680702B"/>
    <w:multiLevelType w:val="hybridMultilevel"/>
    <w:tmpl w:val="F4C48C2C"/>
    <w:lvl w:ilvl="0" w:tplc="F87C3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F30B4"/>
    <w:multiLevelType w:val="hybridMultilevel"/>
    <w:tmpl w:val="62E457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02253"/>
    <w:multiLevelType w:val="hybridMultilevel"/>
    <w:tmpl w:val="25F8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22C05"/>
    <w:multiLevelType w:val="hybridMultilevel"/>
    <w:tmpl w:val="03E23870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92D7E"/>
    <w:multiLevelType w:val="hybridMultilevel"/>
    <w:tmpl w:val="D090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0E57"/>
    <w:multiLevelType w:val="multilevel"/>
    <w:tmpl w:val="C13A8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69F6442"/>
    <w:multiLevelType w:val="hybridMultilevel"/>
    <w:tmpl w:val="F1C6F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8160A"/>
    <w:multiLevelType w:val="hybridMultilevel"/>
    <w:tmpl w:val="46D4AC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1311D"/>
    <w:multiLevelType w:val="hybridMultilevel"/>
    <w:tmpl w:val="9D60F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415B2"/>
    <w:multiLevelType w:val="hybridMultilevel"/>
    <w:tmpl w:val="1AD83F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12F7AE3"/>
    <w:multiLevelType w:val="multilevel"/>
    <w:tmpl w:val="33629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3-"/>
      <w:lvlJc w:val="left"/>
      <w:pPr>
        <w:ind w:left="1080" w:hanging="72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47ED04CE"/>
    <w:multiLevelType w:val="multilevel"/>
    <w:tmpl w:val="746CF4B6"/>
    <w:lvl w:ilvl="0">
      <w:start w:val="1"/>
      <w:numFmt w:val="decimal"/>
      <w:lvlText w:val="%1."/>
      <w:lvlJc w:val="left"/>
      <w:pPr>
        <w:ind w:left="747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56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2"/>
        <w:sz w:val="19"/>
        <w:szCs w:val="19"/>
        <w:lang w:val="uk-UA" w:eastAsia="en-US" w:bidi="ar-SA"/>
      </w:rPr>
    </w:lvl>
    <w:lvl w:ilvl="2">
      <w:numFmt w:val="bullet"/>
      <w:lvlText w:val="•"/>
      <w:lvlJc w:val="left"/>
      <w:pPr>
        <w:ind w:left="1827" w:hanging="36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1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78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6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54" w:hanging="360"/>
      </w:pPr>
      <w:rPr>
        <w:rFonts w:hint="default"/>
        <w:lang w:val="uk-UA" w:eastAsia="en-US" w:bidi="ar-SA"/>
      </w:rPr>
    </w:lvl>
  </w:abstractNum>
  <w:abstractNum w:abstractNumId="16">
    <w:nsid w:val="715A5406"/>
    <w:multiLevelType w:val="hybridMultilevel"/>
    <w:tmpl w:val="60D0A7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3653BAB"/>
    <w:multiLevelType w:val="hybridMultilevel"/>
    <w:tmpl w:val="9732D3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D1DE4"/>
    <w:multiLevelType w:val="hybridMultilevel"/>
    <w:tmpl w:val="59C2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23F31"/>
    <w:multiLevelType w:val="hybridMultilevel"/>
    <w:tmpl w:val="D206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25028"/>
    <w:multiLevelType w:val="hybridMultilevel"/>
    <w:tmpl w:val="A0F09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47C25"/>
    <w:multiLevelType w:val="hybridMultilevel"/>
    <w:tmpl w:val="D2BE7DF8"/>
    <w:lvl w:ilvl="0" w:tplc="EC0C13E6">
      <w:start w:val="5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18"/>
  </w:num>
  <w:num w:numId="7">
    <w:abstractNumId w:val="3"/>
  </w:num>
  <w:num w:numId="8">
    <w:abstractNumId w:val="17"/>
  </w:num>
  <w:num w:numId="9">
    <w:abstractNumId w:val="9"/>
  </w:num>
  <w:num w:numId="10">
    <w:abstractNumId w:val="10"/>
  </w:num>
  <w:num w:numId="11">
    <w:abstractNumId w:val="19"/>
  </w:num>
  <w:num w:numId="12">
    <w:abstractNumId w:val="11"/>
  </w:num>
  <w:num w:numId="13">
    <w:abstractNumId w:val="20"/>
  </w:num>
  <w:num w:numId="14">
    <w:abstractNumId w:val="21"/>
  </w:num>
  <w:num w:numId="15">
    <w:abstractNumId w:val="15"/>
  </w:num>
  <w:num w:numId="16">
    <w:abstractNumId w:val="1"/>
  </w:num>
  <w:num w:numId="17">
    <w:abstractNumId w:val="13"/>
  </w:num>
  <w:num w:numId="18">
    <w:abstractNumId w:val="16"/>
  </w:num>
  <w:num w:numId="19">
    <w:abstractNumId w:val="7"/>
  </w:num>
  <w:num w:numId="20">
    <w:abstractNumId w:val="14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64"/>
    <w:rsid w:val="00243D90"/>
    <w:rsid w:val="00325F3A"/>
    <w:rsid w:val="00366993"/>
    <w:rsid w:val="0060778B"/>
    <w:rsid w:val="00625E1D"/>
    <w:rsid w:val="006A0FD5"/>
    <w:rsid w:val="007D51BC"/>
    <w:rsid w:val="00943B9D"/>
    <w:rsid w:val="009A0E48"/>
    <w:rsid w:val="00AD390A"/>
    <w:rsid w:val="00B60451"/>
    <w:rsid w:val="00C43864"/>
    <w:rsid w:val="00CF3D0A"/>
    <w:rsid w:val="00E21101"/>
    <w:rsid w:val="00EA582E"/>
    <w:rsid w:val="00F7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3A"/>
  </w:style>
  <w:style w:type="paragraph" w:styleId="1">
    <w:name w:val="heading 1"/>
    <w:basedOn w:val="a"/>
    <w:next w:val="a"/>
    <w:link w:val="10"/>
    <w:uiPriority w:val="1"/>
    <w:qFormat/>
    <w:rsid w:val="00325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F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F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F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F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F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5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5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5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5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5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5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5F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5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5F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5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5F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5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5F3A"/>
    <w:rPr>
      <w:b/>
      <w:bCs/>
    </w:rPr>
  </w:style>
  <w:style w:type="character" w:styleId="a9">
    <w:name w:val="Emphasis"/>
    <w:basedOn w:val="a0"/>
    <w:uiPriority w:val="20"/>
    <w:qFormat/>
    <w:rsid w:val="00325F3A"/>
    <w:rPr>
      <w:i/>
      <w:iCs/>
    </w:rPr>
  </w:style>
  <w:style w:type="paragraph" w:styleId="aa">
    <w:name w:val="No Spacing"/>
    <w:uiPriority w:val="1"/>
    <w:qFormat/>
    <w:rsid w:val="00325F3A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325F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F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5F3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5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5F3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5F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5F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5F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5F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5F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5F3A"/>
    <w:pPr>
      <w:outlineLvl w:val="9"/>
    </w:pPr>
  </w:style>
  <w:style w:type="table" w:styleId="af4">
    <w:name w:val="Table Grid"/>
    <w:basedOn w:val="a1"/>
    <w:uiPriority w:val="59"/>
    <w:rsid w:val="009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E2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1"/>
    <w:qFormat/>
    <w:rsid w:val="00EA5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uk-UA"/>
    </w:rPr>
  </w:style>
  <w:style w:type="character" w:customStyle="1" w:styleId="af7">
    <w:name w:val="Основной текст Знак"/>
    <w:basedOn w:val="a0"/>
    <w:link w:val="af6"/>
    <w:uiPriority w:val="1"/>
    <w:rsid w:val="00EA582E"/>
    <w:rPr>
      <w:rFonts w:ascii="Times New Roman" w:eastAsia="Times New Roman" w:hAnsi="Times New Roman" w:cs="Times New Roman"/>
      <w:sz w:val="19"/>
      <w:szCs w:val="19"/>
      <w:lang w:val="uk-UA"/>
    </w:rPr>
  </w:style>
  <w:style w:type="paragraph" w:customStyle="1" w:styleId="TableParagraph">
    <w:name w:val="Table Paragraph"/>
    <w:basedOn w:val="a"/>
    <w:uiPriority w:val="1"/>
    <w:qFormat/>
    <w:rsid w:val="007D5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1934">
    <w:name w:val="1934"/>
    <w:aliases w:val="baiaagaaboqcaaadxwuaaaxvbqaaaaaaaaaaaaaaaaaaaaaaaaaaaaaaaaaaaaaaaaaaaaaaaaaaaaaaaaaaaaaaaaaaaaaaaaaaaaaaaaaaaaaaaaaaaaaaaaaaaaaaaaaaaaaaaaaaaaaaaaaaaaaaaaaaaaaaaaaaaaaaaaaaaaaaaaaaaaaaaaaaaaaaaaaaaaaaaaaaaaaaaaaaaaaaaaaaaaaaaaaaaaaa"/>
    <w:basedOn w:val="a"/>
    <w:rsid w:val="0024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49">
    <w:name w:val="2049"/>
    <w:aliases w:val="baiaagaaboqcaaadogyaaavibgaaaaaaaaaaaaaaaaaaaaaaaaaaaaaaaaaaaaaaaaaaaaaaaaaaaaaaaaaaaaaaaaaaaaaaaaaaaaaaaaaaaaaaaaaaaaaaaaaaaaaaaaaaaaaaaaaaaaaaaaaaaaaaaaaaaaaaaaaaaaaaaaaaaaaaaaaaaaaaaaaaaaaaaaaaaaaaaaaaaaaaaaaaaaaaaaaaaaaaaaaaaaaa"/>
    <w:basedOn w:val="a"/>
    <w:rsid w:val="0024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3A"/>
  </w:style>
  <w:style w:type="paragraph" w:styleId="1">
    <w:name w:val="heading 1"/>
    <w:basedOn w:val="a"/>
    <w:next w:val="a"/>
    <w:link w:val="10"/>
    <w:uiPriority w:val="1"/>
    <w:qFormat/>
    <w:rsid w:val="00325F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5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5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F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F3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F3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F3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F3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F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5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5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5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5F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5F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5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5F3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5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5F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5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5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5F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5F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5F3A"/>
    <w:rPr>
      <w:b/>
      <w:bCs/>
    </w:rPr>
  </w:style>
  <w:style w:type="character" w:styleId="a9">
    <w:name w:val="Emphasis"/>
    <w:basedOn w:val="a0"/>
    <w:uiPriority w:val="20"/>
    <w:qFormat/>
    <w:rsid w:val="00325F3A"/>
    <w:rPr>
      <w:i/>
      <w:iCs/>
    </w:rPr>
  </w:style>
  <w:style w:type="paragraph" w:styleId="aa">
    <w:name w:val="No Spacing"/>
    <w:uiPriority w:val="1"/>
    <w:qFormat/>
    <w:rsid w:val="00325F3A"/>
    <w:pPr>
      <w:spacing w:after="0" w:line="240" w:lineRule="auto"/>
    </w:pPr>
  </w:style>
  <w:style w:type="paragraph" w:styleId="ab">
    <w:name w:val="List Paragraph"/>
    <w:basedOn w:val="a"/>
    <w:uiPriority w:val="1"/>
    <w:qFormat/>
    <w:rsid w:val="00325F3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5F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5F3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5F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5F3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5F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5F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5F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5F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5F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5F3A"/>
    <w:pPr>
      <w:outlineLvl w:val="9"/>
    </w:pPr>
  </w:style>
  <w:style w:type="table" w:styleId="af4">
    <w:name w:val="Table Grid"/>
    <w:basedOn w:val="a1"/>
    <w:uiPriority w:val="59"/>
    <w:rsid w:val="0094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unhideWhenUsed/>
    <w:rsid w:val="00E2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1"/>
    <w:qFormat/>
    <w:rsid w:val="00EA58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uk-UA"/>
    </w:rPr>
  </w:style>
  <w:style w:type="character" w:customStyle="1" w:styleId="af7">
    <w:name w:val="Основной текст Знак"/>
    <w:basedOn w:val="a0"/>
    <w:link w:val="af6"/>
    <w:uiPriority w:val="1"/>
    <w:rsid w:val="00EA582E"/>
    <w:rPr>
      <w:rFonts w:ascii="Times New Roman" w:eastAsia="Times New Roman" w:hAnsi="Times New Roman" w:cs="Times New Roman"/>
      <w:sz w:val="19"/>
      <w:szCs w:val="19"/>
      <w:lang w:val="uk-UA"/>
    </w:rPr>
  </w:style>
  <w:style w:type="paragraph" w:customStyle="1" w:styleId="TableParagraph">
    <w:name w:val="Table Paragraph"/>
    <w:basedOn w:val="a"/>
    <w:uiPriority w:val="1"/>
    <w:qFormat/>
    <w:rsid w:val="007D51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customStyle="1" w:styleId="1934">
    <w:name w:val="1934"/>
    <w:aliases w:val="baiaagaaboqcaaadxwuaaaxvbqaaaaaaaaaaaaaaaaaaaaaaaaaaaaaaaaaaaaaaaaaaaaaaaaaaaaaaaaaaaaaaaaaaaaaaaaaaaaaaaaaaaaaaaaaaaaaaaaaaaaaaaaaaaaaaaaaaaaaaaaaaaaaaaaaaaaaaaaaaaaaaaaaaaaaaaaaaaaaaaaaaaaaaaaaaaaaaaaaaaaaaaaaaaaaaaaaaaaaaaaaaaaaa"/>
    <w:basedOn w:val="a"/>
    <w:rsid w:val="0024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49">
    <w:name w:val="2049"/>
    <w:aliases w:val="baiaagaaboqcaaadogyaaavibgaaaaaaaaaaaaaaaaaaaaaaaaaaaaaaaaaaaaaaaaaaaaaaaaaaaaaaaaaaaaaaaaaaaaaaaaaaaaaaaaaaaaaaaaaaaaaaaaaaaaaaaaaaaaaaaaaaaaaaaaaaaaaaaaaaaaaaaaaaaaaaaaaaaaaaaaaaaaaaaaaaaaaaaaaaaaaaaaaaaaaaaaaaaaaaaaaaaaaaaaaaaaaa"/>
    <w:basedOn w:val="a"/>
    <w:rsid w:val="0024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2023-11-02T11:18:00Z</dcterms:created>
  <dcterms:modified xsi:type="dcterms:W3CDTF">2023-11-02T11:18:00Z</dcterms:modified>
</cp:coreProperties>
</file>