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487CCCF6"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952040">
        <w:rPr>
          <w:bCs/>
          <w:sz w:val="28"/>
          <w:szCs w:val="28"/>
          <w:lang w:val="uk-UA"/>
        </w:rPr>
        <w:t>90</w:t>
      </w:r>
    </w:p>
    <w:p w14:paraId="76877F2D" w14:textId="39E8C23E"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952040">
        <w:rPr>
          <w:sz w:val="28"/>
          <w:szCs w:val="28"/>
          <w:lang w:val="uk-UA"/>
        </w:rPr>
        <w:t>16</w:t>
      </w:r>
      <w:r w:rsidR="002518CB" w:rsidRPr="00F01322">
        <w:rPr>
          <w:sz w:val="28"/>
          <w:szCs w:val="28"/>
          <w:lang w:val="uk-UA"/>
        </w:rPr>
        <w:t xml:space="preserve">» </w:t>
      </w:r>
      <w:r w:rsidR="00952040">
        <w:rPr>
          <w:sz w:val="28"/>
          <w:szCs w:val="28"/>
          <w:lang w:val="uk-UA"/>
        </w:rPr>
        <w:t>жовт</w:t>
      </w:r>
      <w:r w:rsidR="005E3643">
        <w:rPr>
          <w:sz w:val="28"/>
          <w:szCs w:val="28"/>
          <w:lang w:val="uk-UA"/>
        </w:rPr>
        <w:t>н</w:t>
      </w:r>
      <w:r w:rsidR="00644EB4">
        <w:rPr>
          <w:sz w:val="28"/>
          <w:szCs w:val="28"/>
          <w:lang w:val="uk-UA"/>
        </w:rPr>
        <w:t>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05E2348B" w:rsidR="00012F78" w:rsidRPr="00F54B67" w:rsidRDefault="00F31A39" w:rsidP="00F54B67">
      <w:pPr>
        <w:jc w:val="center"/>
        <w:rPr>
          <w:sz w:val="28"/>
          <w:szCs w:val="28"/>
          <w:lang w:val="uk-UA"/>
        </w:rPr>
      </w:pPr>
      <w:r w:rsidRPr="00F31A39">
        <w:rPr>
          <w:sz w:val="28"/>
          <w:szCs w:val="28"/>
          <w:lang w:val="uk-UA"/>
        </w:rPr>
        <w:t>ДК 021:2015 код 31510000-4 Електричні лампи розжарення</w:t>
      </w:r>
      <w:r w:rsidR="00DC3FF3" w:rsidRPr="00DC3FF3">
        <w:rPr>
          <w:sz w:val="28"/>
          <w:szCs w:val="28"/>
          <w:lang w:val="uk-UA"/>
        </w:rPr>
        <w:t xml:space="preserve"> </w:t>
      </w:r>
      <w:r w:rsidR="0060789C" w:rsidRPr="0060789C">
        <w:rPr>
          <w:sz w:val="28"/>
          <w:szCs w:val="28"/>
          <w:lang w:val="uk-UA"/>
        </w:rPr>
        <w:t>(</w:t>
      </w:r>
      <w:r w:rsidRPr="00F31A39">
        <w:rPr>
          <w:sz w:val="28"/>
          <w:szCs w:val="28"/>
          <w:lang w:val="uk-UA"/>
        </w:rPr>
        <w:t>лампи світлодіодні для господарської діяльності</w:t>
      </w:r>
      <w:r w:rsidR="0060789C" w:rsidRPr="0060789C">
        <w:rPr>
          <w:sz w:val="28"/>
          <w:szCs w:val="28"/>
          <w:lang w:val="uk-UA"/>
        </w:rPr>
        <w:t>)</w:t>
      </w:r>
      <w:r w:rsidR="0060789C">
        <w:rPr>
          <w:sz w:val="28"/>
          <w:szCs w:val="28"/>
          <w:lang w:val="uk-UA"/>
        </w:rPr>
        <w:t xml:space="preserve"> </w:t>
      </w:r>
      <w:r w:rsidR="00C3338D" w:rsidRPr="00C3338D">
        <w:rPr>
          <w:sz w:val="28"/>
          <w:szCs w:val="28"/>
          <w:lang w:val="uk-UA"/>
        </w:rPr>
        <w:t>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40DC258C" w:rsidR="00B234E0" w:rsidRPr="00173936" w:rsidRDefault="00F9582C" w:rsidP="006F542E">
            <w:pPr>
              <w:jc w:val="both"/>
              <w:rPr>
                <w:sz w:val="28"/>
                <w:szCs w:val="28"/>
                <w:lang w:val="uk-UA"/>
              </w:rPr>
            </w:pPr>
            <w:r w:rsidRPr="00F9582C">
              <w:rPr>
                <w:sz w:val="28"/>
                <w:szCs w:val="28"/>
                <w:lang w:val="uk-UA"/>
              </w:rPr>
              <w:t>ДК 021:2015 код 31510000-4 Електричні лампи розжарення (лампи світлодіодні для господарської діяльності)</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7A7CECE3"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B7485D">
              <w:rPr>
                <w:b/>
                <w:i/>
                <w:iCs/>
                <w:color w:val="000000" w:themeColor="text1"/>
                <w:sz w:val="28"/>
                <w:szCs w:val="28"/>
                <w:lang w:val="uk-UA"/>
              </w:rPr>
              <w:t>2</w:t>
            </w:r>
            <w:r w:rsidR="00F9582C">
              <w:rPr>
                <w:b/>
                <w:i/>
                <w:iCs/>
                <w:color w:val="000000" w:themeColor="text1"/>
                <w:sz w:val="28"/>
                <w:szCs w:val="28"/>
                <w:lang w:val="uk-UA"/>
              </w:rPr>
              <w:t>4</w:t>
            </w:r>
            <w:r w:rsidR="00B7485D">
              <w:rPr>
                <w:b/>
                <w:i/>
                <w:iCs/>
                <w:color w:val="000000" w:themeColor="text1"/>
                <w:sz w:val="28"/>
                <w:szCs w:val="28"/>
                <w:lang w:val="uk-UA"/>
              </w:rPr>
              <w:t>.</w:t>
            </w:r>
            <w:r w:rsidR="00F9582C">
              <w:rPr>
                <w:b/>
                <w:i/>
                <w:iCs/>
                <w:color w:val="000000" w:themeColor="text1"/>
                <w:sz w:val="28"/>
                <w:szCs w:val="28"/>
                <w:lang w:val="uk-UA"/>
              </w:rPr>
              <w:t>1</w:t>
            </w:r>
            <w:r w:rsidR="00B7485D">
              <w:rPr>
                <w:b/>
                <w:i/>
                <w:iCs/>
                <w:color w:val="000000" w:themeColor="text1"/>
                <w:sz w:val="28"/>
                <w:szCs w:val="28"/>
                <w:lang w:val="uk-UA"/>
              </w:rPr>
              <w:t>0</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77777777" w:rsidR="007152C7" w:rsidRP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F13C13">
              <w:rPr>
                <w:sz w:val="28"/>
                <w:szCs w:val="28"/>
                <w:lang w:val="uk-UA"/>
              </w:rPr>
              <w:lastRenderedPageBreak/>
              <w:t>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09FFD11E"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A51E49" w:rsidRPr="00A51E49">
        <w:rPr>
          <w:b/>
          <w:bCs/>
          <w:sz w:val="28"/>
          <w:szCs w:val="28"/>
          <w:lang w:val="uk-UA"/>
        </w:rPr>
        <w:t>ДК 021:2015 код 31510000-4 Електричні лампи розжарення (лампи світлодіодні для господарської діяльності)</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6B5F8B45"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A51E49" w:rsidRPr="00A51E49">
              <w:rPr>
                <w:sz w:val="28"/>
                <w:szCs w:val="28"/>
                <w:lang w:val="uk-UA"/>
              </w:rPr>
              <w:t>ДК 021:2015 код 31510000-4 Електричні лампи розжарення</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3CDD8CD9" w14:textId="77777777" w:rsidR="00120154" w:rsidRPr="00120154" w:rsidRDefault="00120154" w:rsidP="00120154">
      <w:pPr>
        <w:ind w:firstLine="567"/>
        <w:jc w:val="right"/>
        <w:rPr>
          <w:rFonts w:eastAsiaTheme="minorHAnsi"/>
          <w:sz w:val="28"/>
          <w:szCs w:val="28"/>
          <w:lang w:val="uk-UA" w:eastAsia="en-US"/>
        </w:rPr>
      </w:pPr>
      <w:r w:rsidRPr="00120154">
        <w:rPr>
          <w:rFonts w:eastAsiaTheme="minorHAnsi"/>
          <w:sz w:val="28"/>
          <w:szCs w:val="28"/>
          <w:lang w:val="uk-UA" w:eastAsia="en-US"/>
        </w:rPr>
        <w:lastRenderedPageBreak/>
        <w:t>ДОДАТОК 4</w:t>
      </w:r>
    </w:p>
    <w:p w14:paraId="1A712B50" w14:textId="77777777" w:rsidR="00120154" w:rsidRPr="00120154" w:rsidRDefault="00120154" w:rsidP="00120154">
      <w:pPr>
        <w:ind w:firstLine="567"/>
        <w:jc w:val="right"/>
        <w:rPr>
          <w:rFonts w:eastAsiaTheme="minorHAnsi"/>
          <w:sz w:val="28"/>
          <w:szCs w:val="28"/>
          <w:lang w:val="uk-UA" w:eastAsia="en-US"/>
        </w:rPr>
      </w:pPr>
      <w:r w:rsidRPr="00120154">
        <w:rPr>
          <w:rFonts w:eastAsiaTheme="minorHAnsi"/>
          <w:sz w:val="28"/>
          <w:szCs w:val="28"/>
          <w:lang w:val="uk-UA" w:eastAsia="en-US"/>
        </w:rPr>
        <w:t xml:space="preserve">тендерної документації </w:t>
      </w:r>
    </w:p>
    <w:p w14:paraId="029764AC" w14:textId="77777777" w:rsidR="00120154" w:rsidRPr="00120154" w:rsidRDefault="00120154" w:rsidP="00120154">
      <w:pPr>
        <w:ind w:firstLine="567"/>
        <w:jc w:val="right"/>
        <w:rPr>
          <w:rFonts w:eastAsiaTheme="minorHAnsi"/>
          <w:sz w:val="28"/>
          <w:szCs w:val="28"/>
          <w:lang w:val="uk-UA" w:eastAsia="en-US"/>
        </w:rPr>
      </w:pPr>
    </w:p>
    <w:p w14:paraId="04FDCE57" w14:textId="77777777" w:rsidR="00120154" w:rsidRPr="00120154" w:rsidRDefault="00120154" w:rsidP="00120154">
      <w:pPr>
        <w:jc w:val="center"/>
        <w:rPr>
          <w:b/>
          <w:sz w:val="28"/>
          <w:szCs w:val="28"/>
          <w:lang w:val="uk-UA"/>
        </w:rPr>
      </w:pPr>
      <w:r w:rsidRPr="00120154">
        <w:rPr>
          <w:b/>
          <w:sz w:val="28"/>
          <w:szCs w:val="28"/>
          <w:lang w:val="uk-UA"/>
        </w:rPr>
        <w:t>Технічний опис предмету закупівлі ДК 021:2015 код 31510000-4 Електричні лампи розжарення (лампи світлодіодні для господарської діяльності)</w:t>
      </w:r>
    </w:p>
    <w:tbl>
      <w:tblPr>
        <w:tblStyle w:val="a3"/>
        <w:tblW w:w="0" w:type="auto"/>
        <w:tblLook w:val="04A0" w:firstRow="1" w:lastRow="0" w:firstColumn="1" w:lastColumn="0" w:noHBand="0" w:noVBand="1"/>
      </w:tblPr>
      <w:tblGrid>
        <w:gridCol w:w="3300"/>
        <w:gridCol w:w="5068"/>
        <w:gridCol w:w="1260"/>
      </w:tblGrid>
      <w:tr w:rsidR="00120154" w:rsidRPr="00120154" w14:paraId="6CF42E98" w14:textId="77777777" w:rsidTr="0025745E">
        <w:tc>
          <w:tcPr>
            <w:tcW w:w="3300" w:type="dxa"/>
            <w:tcBorders>
              <w:top w:val="single" w:sz="4" w:space="0" w:color="auto"/>
              <w:left w:val="single" w:sz="4" w:space="0" w:color="auto"/>
              <w:bottom w:val="single" w:sz="4" w:space="0" w:color="auto"/>
              <w:right w:val="single" w:sz="4" w:space="0" w:color="auto"/>
            </w:tcBorders>
          </w:tcPr>
          <w:p w14:paraId="17E18766" w14:textId="77777777" w:rsidR="00120154" w:rsidRPr="00120154" w:rsidRDefault="00120154" w:rsidP="0025745E">
            <w:pPr>
              <w:jc w:val="center"/>
              <w:rPr>
                <w:noProof/>
                <w:lang w:val="uk-UA"/>
              </w:rPr>
            </w:pPr>
            <w:r w:rsidRPr="00120154">
              <w:rPr>
                <w:noProof/>
                <w:lang w:val="uk-UA"/>
              </w:rPr>
              <w:t>Найменування</w:t>
            </w:r>
          </w:p>
        </w:tc>
        <w:tc>
          <w:tcPr>
            <w:tcW w:w="5068" w:type="dxa"/>
            <w:tcBorders>
              <w:top w:val="single" w:sz="4" w:space="0" w:color="auto"/>
              <w:left w:val="single" w:sz="4" w:space="0" w:color="auto"/>
              <w:bottom w:val="single" w:sz="4" w:space="0" w:color="auto"/>
              <w:right w:val="single" w:sz="4" w:space="0" w:color="auto"/>
            </w:tcBorders>
          </w:tcPr>
          <w:p w14:paraId="42140978" w14:textId="77777777" w:rsidR="00120154" w:rsidRPr="00120154" w:rsidRDefault="00120154" w:rsidP="0025745E">
            <w:pPr>
              <w:jc w:val="center"/>
              <w:rPr>
                <w:color w:val="333333"/>
                <w:shd w:val="clear" w:color="auto" w:fill="FFFFFF"/>
                <w:lang w:val="uk-UA"/>
              </w:rPr>
            </w:pPr>
            <w:r w:rsidRPr="00120154">
              <w:rPr>
                <w:color w:val="333333"/>
                <w:shd w:val="clear" w:color="auto" w:fill="FFFFFF"/>
                <w:lang w:val="uk-UA"/>
              </w:rPr>
              <w:t>Технічні та якісні характеристики</w:t>
            </w:r>
          </w:p>
        </w:tc>
        <w:tc>
          <w:tcPr>
            <w:tcW w:w="1260" w:type="dxa"/>
            <w:tcBorders>
              <w:top w:val="single" w:sz="4" w:space="0" w:color="auto"/>
              <w:left w:val="single" w:sz="4" w:space="0" w:color="auto"/>
              <w:bottom w:val="single" w:sz="4" w:space="0" w:color="auto"/>
              <w:right w:val="single" w:sz="4" w:space="0" w:color="auto"/>
            </w:tcBorders>
          </w:tcPr>
          <w:p w14:paraId="15BC1EBE" w14:textId="77777777" w:rsidR="00120154" w:rsidRPr="00120154" w:rsidRDefault="00120154" w:rsidP="0025745E">
            <w:pPr>
              <w:jc w:val="center"/>
              <w:rPr>
                <w:lang w:val="uk-UA"/>
              </w:rPr>
            </w:pPr>
            <w:r w:rsidRPr="00120154">
              <w:rPr>
                <w:color w:val="333333"/>
                <w:shd w:val="clear" w:color="auto" w:fill="FFFFFF"/>
                <w:lang w:val="uk-UA"/>
              </w:rPr>
              <w:t>Кількість</w:t>
            </w:r>
          </w:p>
        </w:tc>
      </w:tr>
      <w:tr w:rsidR="00120154" w:rsidRPr="00120154" w14:paraId="7BA4ADE4" w14:textId="77777777" w:rsidTr="0025745E">
        <w:trPr>
          <w:trHeight w:val="2897"/>
        </w:trPr>
        <w:tc>
          <w:tcPr>
            <w:tcW w:w="3300" w:type="dxa"/>
            <w:tcBorders>
              <w:top w:val="single" w:sz="4" w:space="0" w:color="auto"/>
              <w:left w:val="single" w:sz="4" w:space="0" w:color="auto"/>
              <w:bottom w:val="single" w:sz="4" w:space="0" w:color="auto"/>
              <w:right w:val="single" w:sz="4" w:space="0" w:color="auto"/>
            </w:tcBorders>
            <w:hideMark/>
          </w:tcPr>
          <w:p w14:paraId="6EAC79AC" w14:textId="77777777" w:rsidR="00120154" w:rsidRPr="00120154" w:rsidRDefault="00120154" w:rsidP="0025745E">
            <w:pPr>
              <w:jc w:val="center"/>
              <w:rPr>
                <w:shd w:val="clear" w:color="auto" w:fill="FFFFFF"/>
                <w:lang w:val="uk-UA"/>
              </w:rPr>
            </w:pPr>
            <w:r w:rsidRPr="00120154">
              <w:rPr>
                <w:shd w:val="clear" w:color="auto" w:fill="FFFFFF"/>
                <w:lang w:val="uk-UA"/>
              </w:rPr>
              <w:t>Лампа світлодіодна 12 Вт A60 матова E27 220 В 4000 К</w:t>
            </w:r>
          </w:p>
          <w:p w14:paraId="69C4B072" w14:textId="77777777" w:rsidR="00120154" w:rsidRPr="00120154" w:rsidRDefault="00120154" w:rsidP="0025745E">
            <w:pPr>
              <w:jc w:val="center"/>
              <w:rPr>
                <w:lang w:val="uk-UA"/>
              </w:rPr>
            </w:pPr>
            <w:r w:rsidRPr="00120154">
              <w:rPr>
                <w:noProof/>
                <w:lang w:val="uk-UA"/>
              </w:rPr>
              <w:drawing>
                <wp:inline distT="0" distB="0" distL="0" distR="0" wp14:anchorId="6711BEAC" wp14:editId="2ECCBE01">
                  <wp:extent cx="1726167" cy="1748815"/>
                  <wp:effectExtent l="0" t="0" r="7620" b="3810"/>
                  <wp:docPr id="9" name="Рисунок 9" descr="Лампа світлодіодна Emilight 12 Вт A60 матова E27 220 В 4000 К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мпа світлодіодна Emilight 12 Вт A60 матова E27 220 В 4000 К - фото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376" cy="1765237"/>
                          </a:xfrm>
                          <a:prstGeom prst="rect">
                            <a:avLst/>
                          </a:prstGeom>
                          <a:noFill/>
                          <a:ln>
                            <a:noFill/>
                          </a:ln>
                        </pic:spPr>
                      </pic:pic>
                    </a:graphicData>
                  </a:graphic>
                </wp:inline>
              </w:drawing>
            </w:r>
          </w:p>
        </w:tc>
        <w:tc>
          <w:tcPr>
            <w:tcW w:w="5068" w:type="dxa"/>
            <w:tcBorders>
              <w:top w:val="single" w:sz="4" w:space="0" w:color="auto"/>
              <w:left w:val="single" w:sz="4" w:space="0" w:color="auto"/>
              <w:bottom w:val="single" w:sz="4" w:space="0" w:color="auto"/>
              <w:right w:val="single" w:sz="4" w:space="0" w:color="auto"/>
            </w:tcBorders>
            <w:vAlign w:val="center"/>
            <w:hideMark/>
          </w:tcPr>
          <w:p w14:paraId="39B1F415"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Без регулювання яскравості</w:t>
            </w:r>
          </w:p>
          <w:p w14:paraId="7AEDAE54"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Тип цоколя: E27</w:t>
            </w:r>
          </w:p>
          <w:p w14:paraId="0B45D184"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Розміри: 60х110 мм</w:t>
            </w:r>
          </w:p>
          <w:p w14:paraId="10837851"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Лампа світлодіодна 12 Вт A60</w:t>
            </w:r>
          </w:p>
          <w:p w14:paraId="1EAB7A38"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Світловий потік:</w:t>
            </w:r>
            <w:r w:rsidRPr="00120154">
              <w:rPr>
                <w:color w:val="333333"/>
                <w:shd w:val="clear" w:color="auto" w:fill="FFFFFF"/>
                <w:lang w:val="uk-UA"/>
              </w:rPr>
              <w:t> </w:t>
            </w:r>
            <w:r w:rsidRPr="00120154">
              <w:rPr>
                <w:color w:val="333333"/>
                <w:shd w:val="clear" w:color="auto" w:fill="FFFFFF"/>
                <w:lang w:val="uk-UA"/>
              </w:rPr>
              <w:t xml:space="preserve"> 950 </w:t>
            </w:r>
            <w:proofErr w:type="spellStart"/>
            <w:r w:rsidRPr="00120154">
              <w:rPr>
                <w:color w:val="333333"/>
                <w:shd w:val="clear" w:color="auto" w:fill="FFFFFF"/>
                <w:lang w:val="uk-UA"/>
              </w:rPr>
              <w:t>Лм</w:t>
            </w:r>
            <w:proofErr w:type="spellEnd"/>
            <w:r w:rsidRPr="00120154">
              <w:rPr>
                <w:color w:val="333333"/>
                <w:shd w:val="clear" w:color="auto" w:fill="FFFFFF"/>
                <w:lang w:val="uk-UA"/>
              </w:rPr>
              <w:t>.</w:t>
            </w:r>
          </w:p>
          <w:p w14:paraId="337C7210"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Тип колби: A60</w:t>
            </w:r>
          </w:p>
          <w:p w14:paraId="4830A0BC"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Аналог лампи розжарювання: 100 Вт.</w:t>
            </w:r>
          </w:p>
          <w:p w14:paraId="0C932CBC"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Розсіювач: матова</w:t>
            </w:r>
          </w:p>
          <w:p w14:paraId="0527D303"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Напруга: 220 В</w:t>
            </w:r>
          </w:p>
          <w:p w14:paraId="63D6BBBB"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Термін служби: не менше 35000 год.</w:t>
            </w:r>
          </w:p>
          <w:p w14:paraId="3FECE421"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Форма: куля</w:t>
            </w:r>
          </w:p>
          <w:p w14:paraId="7DF88EBD"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Тип лампи: світлодіодна (LED)</w:t>
            </w:r>
          </w:p>
          <w:p w14:paraId="4388F72D"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Колір: білий</w:t>
            </w:r>
          </w:p>
          <w:p w14:paraId="787F3F67"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Колірна температура: 4000 К.</w:t>
            </w:r>
          </w:p>
          <w:p w14:paraId="44B04C40"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 xml:space="preserve">Індекс </w:t>
            </w:r>
            <w:proofErr w:type="spellStart"/>
            <w:r w:rsidRPr="00120154">
              <w:rPr>
                <w:color w:val="333333"/>
                <w:shd w:val="clear" w:color="auto" w:fill="FFFFFF"/>
                <w:lang w:val="uk-UA"/>
              </w:rPr>
              <w:t>кольоропередачі</w:t>
            </w:r>
            <w:proofErr w:type="spellEnd"/>
            <w:r w:rsidRPr="00120154">
              <w:rPr>
                <w:color w:val="333333"/>
                <w:shd w:val="clear" w:color="auto" w:fill="FFFFFF"/>
                <w:lang w:val="uk-UA"/>
              </w:rPr>
              <w:t xml:space="preserve">: 85 </w:t>
            </w:r>
            <w:proofErr w:type="spellStart"/>
            <w:r w:rsidRPr="00120154">
              <w:rPr>
                <w:color w:val="333333"/>
                <w:shd w:val="clear" w:color="auto" w:fill="FFFFFF"/>
                <w:lang w:val="uk-UA"/>
              </w:rPr>
              <w:t>Ra</w:t>
            </w:r>
            <w:proofErr w:type="spellEnd"/>
          </w:p>
          <w:p w14:paraId="3A6A1A94"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 xml:space="preserve">Кут освітлення: 240 град </w:t>
            </w:r>
          </w:p>
          <w:p w14:paraId="138A65C0" w14:textId="77777777" w:rsidR="00120154" w:rsidRPr="00120154" w:rsidRDefault="00120154" w:rsidP="0025745E">
            <w:pPr>
              <w:rPr>
                <w:color w:val="333333"/>
                <w:shd w:val="clear" w:color="auto" w:fill="FFFFFF"/>
                <w:lang w:val="uk-UA"/>
              </w:rPr>
            </w:pPr>
            <w:r w:rsidRPr="00120154">
              <w:rPr>
                <w:color w:val="333333"/>
                <w:shd w:val="clear" w:color="auto" w:fill="FFFFFF"/>
                <w:lang w:val="uk-UA"/>
              </w:rPr>
              <w:t>Гарантія: не менше 36 міс.</w:t>
            </w:r>
          </w:p>
          <w:p w14:paraId="3F6E4341" w14:textId="77777777" w:rsidR="00120154" w:rsidRPr="00120154" w:rsidRDefault="00120154" w:rsidP="0025745E">
            <w:pPr>
              <w:rPr>
                <w:sz w:val="20"/>
                <w:szCs w:val="20"/>
                <w:lang w:val="uk-UA"/>
              </w:rPr>
            </w:pPr>
            <w:r w:rsidRPr="00120154">
              <w:rPr>
                <w:lang w:val="uk-UA"/>
              </w:rPr>
              <w:t>Термін виготовлення не раніше серпня 2023р.</w:t>
            </w:r>
          </w:p>
        </w:tc>
        <w:tc>
          <w:tcPr>
            <w:tcW w:w="1260" w:type="dxa"/>
            <w:tcBorders>
              <w:top w:val="single" w:sz="4" w:space="0" w:color="auto"/>
              <w:left w:val="single" w:sz="4" w:space="0" w:color="auto"/>
              <w:bottom w:val="single" w:sz="4" w:space="0" w:color="auto"/>
              <w:right w:val="single" w:sz="4" w:space="0" w:color="auto"/>
            </w:tcBorders>
            <w:hideMark/>
          </w:tcPr>
          <w:p w14:paraId="0416D98D" w14:textId="77777777" w:rsidR="00120154" w:rsidRPr="00120154" w:rsidRDefault="00120154" w:rsidP="0025745E">
            <w:pPr>
              <w:jc w:val="center"/>
              <w:rPr>
                <w:lang w:val="uk-UA"/>
              </w:rPr>
            </w:pPr>
            <w:r w:rsidRPr="00120154">
              <w:rPr>
                <w:lang w:val="uk-UA"/>
              </w:rPr>
              <w:t>100</w:t>
            </w:r>
          </w:p>
        </w:tc>
      </w:tr>
      <w:tr w:rsidR="00120154" w:rsidRPr="00120154" w14:paraId="4935415A" w14:textId="77777777" w:rsidTr="0025745E">
        <w:trPr>
          <w:trHeight w:val="2897"/>
        </w:trPr>
        <w:tc>
          <w:tcPr>
            <w:tcW w:w="3300" w:type="dxa"/>
            <w:tcBorders>
              <w:top w:val="single" w:sz="4" w:space="0" w:color="auto"/>
              <w:left w:val="single" w:sz="4" w:space="0" w:color="auto"/>
              <w:bottom w:val="single" w:sz="4" w:space="0" w:color="auto"/>
              <w:right w:val="single" w:sz="4" w:space="0" w:color="auto"/>
            </w:tcBorders>
          </w:tcPr>
          <w:p w14:paraId="77B00274" w14:textId="77777777" w:rsidR="00120154" w:rsidRPr="00120154" w:rsidRDefault="00120154" w:rsidP="0025745E">
            <w:pPr>
              <w:jc w:val="center"/>
              <w:rPr>
                <w:lang w:val="uk-UA"/>
              </w:rPr>
            </w:pPr>
            <w:r w:rsidRPr="00120154">
              <w:rPr>
                <w:lang w:val="uk-UA"/>
              </w:rPr>
              <w:t>Світлодіодна лампа T8-GL-600-8W CW G13 600 мм 6200К</w:t>
            </w:r>
          </w:p>
          <w:p w14:paraId="365B1B72" w14:textId="77777777" w:rsidR="00120154" w:rsidRPr="00120154" w:rsidRDefault="00120154" w:rsidP="0025745E">
            <w:pPr>
              <w:jc w:val="center"/>
              <w:rPr>
                <w:lang w:val="uk-UA"/>
              </w:rPr>
            </w:pPr>
          </w:p>
          <w:p w14:paraId="6038AF44" w14:textId="77777777" w:rsidR="00120154" w:rsidRPr="00120154" w:rsidRDefault="00120154" w:rsidP="0025745E">
            <w:pPr>
              <w:jc w:val="center"/>
              <w:rPr>
                <w:noProof/>
                <w:lang w:val="uk-UA"/>
              </w:rPr>
            </w:pPr>
            <w:r w:rsidRPr="00120154">
              <w:rPr>
                <w:noProof/>
                <w:lang w:val="uk-UA"/>
              </w:rPr>
              <w:drawing>
                <wp:inline distT="0" distB="0" distL="0" distR="0" wp14:anchorId="7FA1E6F4" wp14:editId="0126207F">
                  <wp:extent cx="1645920" cy="1645920"/>
                  <wp:effectExtent l="0" t="0" r="0" b="0"/>
                  <wp:docPr id="10" name="Рисунок 10" descr="Світлодіодна лампа BIOM T8-GL-600-8W CW G13 600 мм 6200К (10569) - фот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ітлодіодна лампа BIOM T8-GL-600-8W CW G13 600 мм 6200К (10569) - фото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679" cy="1668679"/>
                          </a:xfrm>
                          <a:prstGeom prst="rect">
                            <a:avLst/>
                          </a:prstGeom>
                          <a:noFill/>
                          <a:ln>
                            <a:noFill/>
                          </a:ln>
                        </pic:spPr>
                      </pic:pic>
                    </a:graphicData>
                  </a:graphic>
                </wp:inline>
              </w:drawing>
            </w:r>
          </w:p>
        </w:tc>
        <w:tc>
          <w:tcPr>
            <w:tcW w:w="5068" w:type="dxa"/>
            <w:tcBorders>
              <w:top w:val="single" w:sz="4" w:space="0" w:color="auto"/>
              <w:left w:val="single" w:sz="4" w:space="0" w:color="auto"/>
              <w:bottom w:val="single" w:sz="4" w:space="0" w:color="auto"/>
              <w:right w:val="single" w:sz="4" w:space="0" w:color="auto"/>
            </w:tcBorders>
            <w:vAlign w:val="center"/>
          </w:tcPr>
          <w:p w14:paraId="79A8AF26" w14:textId="77777777" w:rsidR="00120154" w:rsidRPr="00120154" w:rsidRDefault="00120154" w:rsidP="0025745E">
            <w:pPr>
              <w:rPr>
                <w:lang w:val="uk-UA"/>
              </w:rPr>
            </w:pPr>
            <w:r w:rsidRPr="00120154">
              <w:rPr>
                <w:lang w:val="uk-UA"/>
              </w:rPr>
              <w:t xml:space="preserve">Аналог лампи розжарювання 80 Вт. </w:t>
            </w:r>
          </w:p>
          <w:p w14:paraId="575430C6" w14:textId="77777777" w:rsidR="00120154" w:rsidRPr="00120154" w:rsidRDefault="00120154" w:rsidP="0025745E">
            <w:pPr>
              <w:rPr>
                <w:lang w:val="uk-UA"/>
              </w:rPr>
            </w:pPr>
            <w:r w:rsidRPr="00120154">
              <w:rPr>
                <w:lang w:val="uk-UA"/>
              </w:rPr>
              <w:t>Колір білий матовий</w:t>
            </w:r>
          </w:p>
          <w:p w14:paraId="53E01264" w14:textId="77777777" w:rsidR="00120154" w:rsidRPr="00120154" w:rsidRDefault="00120154" w:rsidP="0025745E">
            <w:pPr>
              <w:rPr>
                <w:lang w:val="uk-UA"/>
              </w:rPr>
            </w:pPr>
            <w:r w:rsidRPr="00120154">
              <w:rPr>
                <w:lang w:val="uk-UA"/>
              </w:rPr>
              <w:t xml:space="preserve">Форма трубка </w:t>
            </w:r>
          </w:p>
          <w:p w14:paraId="562E66D6" w14:textId="77777777" w:rsidR="00120154" w:rsidRPr="00120154" w:rsidRDefault="00120154" w:rsidP="0025745E">
            <w:pPr>
              <w:rPr>
                <w:lang w:val="uk-UA"/>
              </w:rPr>
            </w:pPr>
            <w:r w:rsidRPr="00120154">
              <w:rPr>
                <w:lang w:val="uk-UA"/>
              </w:rPr>
              <w:t xml:space="preserve">Світловий потік 800 </w:t>
            </w:r>
            <w:proofErr w:type="spellStart"/>
            <w:r w:rsidRPr="00120154">
              <w:rPr>
                <w:lang w:val="uk-UA"/>
              </w:rPr>
              <w:t>Лм</w:t>
            </w:r>
            <w:proofErr w:type="spellEnd"/>
            <w:r w:rsidRPr="00120154">
              <w:rPr>
                <w:lang w:val="uk-UA"/>
              </w:rPr>
              <w:t>.</w:t>
            </w:r>
          </w:p>
          <w:p w14:paraId="4D2BF7C8" w14:textId="77777777" w:rsidR="00120154" w:rsidRPr="00120154" w:rsidRDefault="00120154" w:rsidP="0025745E">
            <w:pPr>
              <w:rPr>
                <w:lang w:val="uk-UA"/>
              </w:rPr>
            </w:pPr>
            <w:r w:rsidRPr="00120154">
              <w:rPr>
                <w:lang w:val="uk-UA"/>
              </w:rPr>
              <w:t>Потужність 8 Вт.</w:t>
            </w:r>
          </w:p>
          <w:p w14:paraId="2ACD9DE8" w14:textId="77777777" w:rsidR="00120154" w:rsidRPr="00120154" w:rsidRDefault="00120154" w:rsidP="0025745E">
            <w:pPr>
              <w:rPr>
                <w:lang w:val="uk-UA"/>
              </w:rPr>
            </w:pPr>
            <w:r w:rsidRPr="00120154">
              <w:rPr>
                <w:lang w:val="uk-UA"/>
              </w:rPr>
              <w:t>Колірна температура 6200 K. холодне світло</w:t>
            </w:r>
          </w:p>
          <w:p w14:paraId="2D2F967D" w14:textId="77777777" w:rsidR="00120154" w:rsidRPr="00120154" w:rsidRDefault="00120154" w:rsidP="0025745E">
            <w:pPr>
              <w:rPr>
                <w:lang w:val="uk-UA"/>
              </w:rPr>
            </w:pPr>
            <w:r w:rsidRPr="00120154">
              <w:rPr>
                <w:lang w:val="uk-UA"/>
              </w:rPr>
              <w:t>Розміри 600x30 мм.</w:t>
            </w:r>
          </w:p>
          <w:p w14:paraId="15ACFEA6" w14:textId="77777777" w:rsidR="00120154" w:rsidRPr="00120154" w:rsidRDefault="00120154" w:rsidP="0025745E">
            <w:pPr>
              <w:rPr>
                <w:lang w:val="uk-UA"/>
              </w:rPr>
            </w:pPr>
            <w:r w:rsidRPr="00120154">
              <w:rPr>
                <w:lang w:val="uk-UA"/>
              </w:rPr>
              <w:t xml:space="preserve">Напруга 220 В. </w:t>
            </w:r>
          </w:p>
          <w:p w14:paraId="28B1D37D" w14:textId="77777777" w:rsidR="00120154" w:rsidRPr="00120154" w:rsidRDefault="00120154" w:rsidP="0025745E">
            <w:pPr>
              <w:rPr>
                <w:lang w:val="uk-UA"/>
              </w:rPr>
            </w:pPr>
            <w:r w:rsidRPr="00120154">
              <w:rPr>
                <w:lang w:val="uk-UA"/>
              </w:rPr>
              <w:t xml:space="preserve">Клас енергоспоживання A+ </w:t>
            </w:r>
          </w:p>
          <w:p w14:paraId="490B2A31" w14:textId="77777777" w:rsidR="00120154" w:rsidRPr="00120154" w:rsidRDefault="00120154" w:rsidP="0025745E">
            <w:pPr>
              <w:rPr>
                <w:lang w:val="uk-UA"/>
              </w:rPr>
            </w:pPr>
            <w:r w:rsidRPr="00120154">
              <w:rPr>
                <w:lang w:val="uk-UA"/>
              </w:rPr>
              <w:t xml:space="preserve">Світлова віддача 100 </w:t>
            </w:r>
            <w:proofErr w:type="spellStart"/>
            <w:r w:rsidRPr="00120154">
              <w:rPr>
                <w:lang w:val="uk-UA"/>
              </w:rPr>
              <w:t>Лм</w:t>
            </w:r>
            <w:proofErr w:type="spellEnd"/>
            <w:r w:rsidRPr="00120154">
              <w:rPr>
                <w:lang w:val="uk-UA"/>
              </w:rPr>
              <w:t>/Вт.</w:t>
            </w:r>
          </w:p>
          <w:p w14:paraId="4C5E7417" w14:textId="77777777" w:rsidR="00120154" w:rsidRPr="00120154" w:rsidRDefault="00120154" w:rsidP="0025745E">
            <w:pPr>
              <w:rPr>
                <w:lang w:val="uk-UA"/>
              </w:rPr>
            </w:pPr>
            <w:r w:rsidRPr="00120154">
              <w:rPr>
                <w:lang w:val="uk-UA"/>
              </w:rPr>
              <w:t>Тип лампи: світлодіодна (LED).</w:t>
            </w:r>
          </w:p>
          <w:p w14:paraId="5E986B79" w14:textId="77777777" w:rsidR="00120154" w:rsidRPr="00120154" w:rsidRDefault="00120154" w:rsidP="0025745E">
            <w:pPr>
              <w:rPr>
                <w:lang w:val="uk-UA"/>
              </w:rPr>
            </w:pPr>
            <w:r w:rsidRPr="00120154">
              <w:rPr>
                <w:lang w:val="uk-UA"/>
              </w:rPr>
              <w:t>Термін служби: не менше 40000 год.</w:t>
            </w:r>
          </w:p>
          <w:p w14:paraId="185FE7FC" w14:textId="77777777" w:rsidR="00120154" w:rsidRPr="00120154" w:rsidRDefault="00120154" w:rsidP="0025745E">
            <w:pPr>
              <w:rPr>
                <w:lang w:val="uk-UA"/>
              </w:rPr>
            </w:pPr>
            <w:r w:rsidRPr="00120154">
              <w:rPr>
                <w:lang w:val="uk-UA"/>
              </w:rPr>
              <w:t>Тип цоколя: G13.</w:t>
            </w:r>
          </w:p>
          <w:p w14:paraId="32537F05" w14:textId="77777777" w:rsidR="00120154" w:rsidRPr="00120154" w:rsidRDefault="00120154" w:rsidP="0025745E">
            <w:pPr>
              <w:rPr>
                <w:lang w:val="uk-UA"/>
              </w:rPr>
            </w:pPr>
            <w:r w:rsidRPr="00120154">
              <w:rPr>
                <w:lang w:val="uk-UA"/>
              </w:rPr>
              <w:t>Кут освітлення: 270 град.</w:t>
            </w:r>
          </w:p>
          <w:p w14:paraId="483CBFCD" w14:textId="77777777" w:rsidR="00120154" w:rsidRPr="00120154" w:rsidRDefault="00120154" w:rsidP="0025745E">
            <w:pPr>
              <w:rPr>
                <w:lang w:val="uk-UA"/>
              </w:rPr>
            </w:pPr>
            <w:r w:rsidRPr="00120154">
              <w:rPr>
                <w:lang w:val="uk-UA"/>
              </w:rPr>
              <w:t>Довжина: 60 см.</w:t>
            </w:r>
          </w:p>
          <w:p w14:paraId="5D970545" w14:textId="77777777" w:rsidR="00120154" w:rsidRPr="00120154" w:rsidRDefault="00120154" w:rsidP="0025745E">
            <w:pPr>
              <w:rPr>
                <w:lang w:val="uk-UA"/>
              </w:rPr>
            </w:pPr>
            <w:r w:rsidRPr="00120154">
              <w:rPr>
                <w:lang w:val="uk-UA"/>
              </w:rPr>
              <w:t xml:space="preserve">Гарантія: не менше 24 міс. </w:t>
            </w:r>
          </w:p>
          <w:p w14:paraId="05B21431" w14:textId="77777777" w:rsidR="00120154" w:rsidRPr="00120154" w:rsidRDefault="00120154" w:rsidP="0025745E">
            <w:pPr>
              <w:rPr>
                <w:lang w:val="uk-UA"/>
              </w:rPr>
            </w:pPr>
            <w:r w:rsidRPr="00120154">
              <w:rPr>
                <w:lang w:val="uk-UA"/>
              </w:rPr>
              <w:t>Термін виготовлення не раніше серпня 2023р.</w:t>
            </w:r>
          </w:p>
        </w:tc>
        <w:tc>
          <w:tcPr>
            <w:tcW w:w="1260" w:type="dxa"/>
            <w:tcBorders>
              <w:top w:val="single" w:sz="4" w:space="0" w:color="auto"/>
              <w:left w:val="single" w:sz="4" w:space="0" w:color="auto"/>
              <w:bottom w:val="single" w:sz="4" w:space="0" w:color="auto"/>
              <w:right w:val="single" w:sz="4" w:space="0" w:color="auto"/>
            </w:tcBorders>
          </w:tcPr>
          <w:p w14:paraId="1BBD5366" w14:textId="77777777" w:rsidR="00120154" w:rsidRPr="00120154" w:rsidRDefault="00120154" w:rsidP="0025745E">
            <w:pPr>
              <w:jc w:val="center"/>
              <w:rPr>
                <w:lang w:val="uk-UA"/>
              </w:rPr>
            </w:pPr>
            <w:r w:rsidRPr="00120154">
              <w:rPr>
                <w:lang w:val="uk-UA"/>
              </w:rPr>
              <w:t>100</w:t>
            </w:r>
          </w:p>
        </w:tc>
      </w:tr>
    </w:tbl>
    <w:p w14:paraId="1B18F69C" w14:textId="77777777" w:rsidR="00120154" w:rsidRPr="00120154" w:rsidRDefault="00120154" w:rsidP="00120154">
      <w:pPr>
        <w:pStyle w:val="af4"/>
        <w:jc w:val="both"/>
        <w:rPr>
          <w:lang w:eastAsia="uk-UA"/>
        </w:rPr>
      </w:pPr>
    </w:p>
    <w:p w14:paraId="27B97B24" w14:textId="77777777" w:rsidR="00120154" w:rsidRPr="00120154" w:rsidRDefault="00120154" w:rsidP="00120154">
      <w:pPr>
        <w:pStyle w:val="af4"/>
        <w:jc w:val="both"/>
        <w:rPr>
          <w:lang w:eastAsia="uk-UA"/>
        </w:rPr>
      </w:pPr>
      <w:r w:rsidRPr="00120154">
        <w:rPr>
          <w:i/>
          <w:sz w:val="20"/>
          <w:szCs w:val="20"/>
        </w:rPr>
        <w:t xml:space="preserve">Якщо технічний опис предмету закупівлі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w:t>
      </w:r>
      <w:r w:rsidRPr="00120154">
        <w:rPr>
          <w:b/>
          <w:i/>
          <w:sz w:val="20"/>
          <w:szCs w:val="20"/>
        </w:rPr>
        <w:t>«Або еквівалент»</w:t>
      </w:r>
      <w:r w:rsidRPr="00120154">
        <w:rPr>
          <w:i/>
          <w:sz w:val="20"/>
          <w:szCs w:val="20"/>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14:paraId="11B5DDF6" w14:textId="77777777" w:rsidR="00120154" w:rsidRPr="00120154" w:rsidRDefault="00120154" w:rsidP="00120154">
      <w:pPr>
        <w:pStyle w:val="af4"/>
        <w:jc w:val="both"/>
        <w:rPr>
          <w:lang w:eastAsia="uk-UA"/>
        </w:rPr>
      </w:pPr>
    </w:p>
    <w:p w14:paraId="45D7CC14" w14:textId="6A50E7C8" w:rsidR="009B3E8B" w:rsidRPr="00120154" w:rsidRDefault="00120154" w:rsidP="00120154">
      <w:pPr>
        <w:pStyle w:val="af4"/>
        <w:ind w:right="424" w:firstLine="709"/>
        <w:jc w:val="both"/>
        <w:rPr>
          <w:lang w:eastAsia="uk-UA"/>
        </w:rPr>
      </w:pPr>
      <w:r w:rsidRPr="00120154">
        <w:rPr>
          <w:color w:val="000000"/>
        </w:rPr>
        <w:t xml:space="preserve">Постачання товару здійснюється Постачальником на адресу Покупця: м. Вінниця, </w:t>
      </w:r>
      <w:r>
        <w:rPr>
          <w:color w:val="000000"/>
        </w:rPr>
        <w:t xml:space="preserve">     </w:t>
      </w:r>
      <w:bookmarkStart w:id="2" w:name="_GoBack"/>
      <w:bookmarkEnd w:id="2"/>
      <w:r w:rsidRPr="00120154">
        <w:rPr>
          <w:color w:val="000000"/>
        </w:rPr>
        <w:t>вул. Соборна, 87 без додаткової оплати.</w:t>
      </w:r>
    </w:p>
    <w:p w14:paraId="35842B33" w14:textId="674F188D" w:rsidR="00FD5241" w:rsidRPr="00120154"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3F6B16">
          <w:pgSz w:w="11906" w:h="16838"/>
          <w:pgMar w:top="851" w:right="70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B7E2F" w14:textId="77777777" w:rsidR="001019FB" w:rsidRDefault="001019FB" w:rsidP="00DC55F7">
      <w:r>
        <w:separator/>
      </w:r>
    </w:p>
  </w:endnote>
  <w:endnote w:type="continuationSeparator" w:id="0">
    <w:p w14:paraId="261FCE02" w14:textId="77777777" w:rsidR="001019FB" w:rsidRDefault="001019FB"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8D928" w14:textId="77777777" w:rsidR="001019FB" w:rsidRDefault="001019FB" w:rsidP="00DC55F7">
      <w:r>
        <w:separator/>
      </w:r>
    </w:p>
  </w:footnote>
  <w:footnote w:type="continuationSeparator" w:id="0">
    <w:p w14:paraId="3E6B380E" w14:textId="77777777" w:rsidR="001019FB" w:rsidRDefault="001019FB"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19FB"/>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154"/>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702D"/>
    <w:rsid w:val="00190E20"/>
    <w:rsid w:val="00192589"/>
    <w:rsid w:val="00193BED"/>
    <w:rsid w:val="0019401B"/>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6115"/>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C22B7"/>
    <w:rsid w:val="002C6895"/>
    <w:rsid w:val="002D6979"/>
    <w:rsid w:val="002E208C"/>
    <w:rsid w:val="002E287C"/>
    <w:rsid w:val="002E2F45"/>
    <w:rsid w:val="002E5A82"/>
    <w:rsid w:val="002E6940"/>
    <w:rsid w:val="002F0E4B"/>
    <w:rsid w:val="002F4FC7"/>
    <w:rsid w:val="002F57ED"/>
    <w:rsid w:val="00300368"/>
    <w:rsid w:val="00300CF8"/>
    <w:rsid w:val="00300D03"/>
    <w:rsid w:val="00301041"/>
    <w:rsid w:val="00301CDD"/>
    <w:rsid w:val="003024A0"/>
    <w:rsid w:val="00302B99"/>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3B7"/>
    <w:rsid w:val="00354470"/>
    <w:rsid w:val="00355F0E"/>
    <w:rsid w:val="00356CBF"/>
    <w:rsid w:val="00356F0A"/>
    <w:rsid w:val="00362777"/>
    <w:rsid w:val="00363D80"/>
    <w:rsid w:val="00364275"/>
    <w:rsid w:val="00364D08"/>
    <w:rsid w:val="00365D9D"/>
    <w:rsid w:val="0037112D"/>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963"/>
    <w:rsid w:val="00411EAF"/>
    <w:rsid w:val="0041459B"/>
    <w:rsid w:val="004213AE"/>
    <w:rsid w:val="004218EE"/>
    <w:rsid w:val="00421C23"/>
    <w:rsid w:val="0042455D"/>
    <w:rsid w:val="004272B0"/>
    <w:rsid w:val="0042792B"/>
    <w:rsid w:val="004301D4"/>
    <w:rsid w:val="0043086E"/>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05CC"/>
    <w:rsid w:val="00472488"/>
    <w:rsid w:val="00472FBC"/>
    <w:rsid w:val="0047406D"/>
    <w:rsid w:val="004744B6"/>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3A1"/>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11FCA"/>
    <w:rsid w:val="00512195"/>
    <w:rsid w:val="00512D47"/>
    <w:rsid w:val="00514599"/>
    <w:rsid w:val="0051483B"/>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3152"/>
    <w:rsid w:val="005C60CE"/>
    <w:rsid w:val="005C73D9"/>
    <w:rsid w:val="005D078C"/>
    <w:rsid w:val="005D3815"/>
    <w:rsid w:val="005E0919"/>
    <w:rsid w:val="005E2C83"/>
    <w:rsid w:val="005E3643"/>
    <w:rsid w:val="005E5A60"/>
    <w:rsid w:val="005E76E1"/>
    <w:rsid w:val="005F1A78"/>
    <w:rsid w:val="005F36D9"/>
    <w:rsid w:val="005F3F64"/>
    <w:rsid w:val="005F3F6C"/>
    <w:rsid w:val="00600EC8"/>
    <w:rsid w:val="00601FC4"/>
    <w:rsid w:val="00601FF2"/>
    <w:rsid w:val="00602DC0"/>
    <w:rsid w:val="006033EF"/>
    <w:rsid w:val="0060789C"/>
    <w:rsid w:val="00610873"/>
    <w:rsid w:val="00611384"/>
    <w:rsid w:val="00613B20"/>
    <w:rsid w:val="00620EDA"/>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5B84"/>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5270"/>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6169"/>
    <w:rsid w:val="00836EED"/>
    <w:rsid w:val="0084162A"/>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2B4"/>
    <w:rsid w:val="00874F76"/>
    <w:rsid w:val="0087627A"/>
    <w:rsid w:val="00877390"/>
    <w:rsid w:val="00882DE3"/>
    <w:rsid w:val="00885EE8"/>
    <w:rsid w:val="008862C5"/>
    <w:rsid w:val="00886FDE"/>
    <w:rsid w:val="00890B77"/>
    <w:rsid w:val="008925DB"/>
    <w:rsid w:val="00894792"/>
    <w:rsid w:val="00897FEE"/>
    <w:rsid w:val="008A1153"/>
    <w:rsid w:val="008A2279"/>
    <w:rsid w:val="008A25CE"/>
    <w:rsid w:val="008A499A"/>
    <w:rsid w:val="008A4F48"/>
    <w:rsid w:val="008A5975"/>
    <w:rsid w:val="008A6274"/>
    <w:rsid w:val="008B1037"/>
    <w:rsid w:val="008B201E"/>
    <w:rsid w:val="008B5400"/>
    <w:rsid w:val="008B59B5"/>
    <w:rsid w:val="008B6A80"/>
    <w:rsid w:val="008B7D27"/>
    <w:rsid w:val="008C0258"/>
    <w:rsid w:val="008C225B"/>
    <w:rsid w:val="008C3BAF"/>
    <w:rsid w:val="008C4D25"/>
    <w:rsid w:val="008C69A4"/>
    <w:rsid w:val="008D031B"/>
    <w:rsid w:val="008D050F"/>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441"/>
    <w:rsid w:val="008F3581"/>
    <w:rsid w:val="008F7442"/>
    <w:rsid w:val="008F7A57"/>
    <w:rsid w:val="00900038"/>
    <w:rsid w:val="0090033C"/>
    <w:rsid w:val="00901E6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2040"/>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4390"/>
    <w:rsid w:val="00A343DC"/>
    <w:rsid w:val="00A36D71"/>
    <w:rsid w:val="00A40B92"/>
    <w:rsid w:val="00A43535"/>
    <w:rsid w:val="00A43797"/>
    <w:rsid w:val="00A43953"/>
    <w:rsid w:val="00A451EB"/>
    <w:rsid w:val="00A51E23"/>
    <w:rsid w:val="00A51E49"/>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7773"/>
    <w:rsid w:val="00EB3537"/>
    <w:rsid w:val="00EB4007"/>
    <w:rsid w:val="00EB4B1E"/>
    <w:rsid w:val="00EC1B3E"/>
    <w:rsid w:val="00EC47DD"/>
    <w:rsid w:val="00EC586F"/>
    <w:rsid w:val="00ED45FA"/>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1A3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4686"/>
    <w:rsid w:val="00F7585F"/>
    <w:rsid w:val="00F7724A"/>
    <w:rsid w:val="00F77AAB"/>
    <w:rsid w:val="00F80E55"/>
    <w:rsid w:val="00F82157"/>
    <w:rsid w:val="00F82315"/>
    <w:rsid w:val="00F83DB6"/>
    <w:rsid w:val="00F85A71"/>
    <w:rsid w:val="00F8698B"/>
    <w:rsid w:val="00F90104"/>
    <w:rsid w:val="00F90697"/>
    <w:rsid w:val="00F94987"/>
    <w:rsid w:val="00F9582C"/>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3609-C3F5-43C6-9D01-B2D37F90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35</Pages>
  <Words>39033</Words>
  <Characters>22249</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891</cp:revision>
  <cp:lastPrinted>2023-09-20T11:09:00Z</cp:lastPrinted>
  <dcterms:created xsi:type="dcterms:W3CDTF">2018-11-19T10:13:00Z</dcterms:created>
  <dcterms:modified xsi:type="dcterms:W3CDTF">2023-10-16T06:29:00Z</dcterms:modified>
</cp:coreProperties>
</file>