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63FA7EB8"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6A739F">
        <w:rPr>
          <w:rFonts w:ascii="Times New Roman" w:hAnsi="Times New Roman" w:cs="Times New Roman"/>
          <w:b/>
          <w:color w:val="000000"/>
          <w:sz w:val="24"/>
          <w:szCs w:val="24"/>
          <w:bdr w:val="none" w:sz="0" w:space="0" w:color="auto" w:frame="1"/>
        </w:rPr>
        <w:t>2</w:t>
      </w:r>
      <w:r w:rsidR="008C3F4F">
        <w:rPr>
          <w:rFonts w:ascii="Times New Roman" w:hAnsi="Times New Roman" w:cs="Times New Roman"/>
          <w:b/>
          <w:color w:val="000000"/>
          <w:sz w:val="24"/>
          <w:szCs w:val="24"/>
          <w:bdr w:val="none" w:sz="0" w:space="0" w:color="auto" w:frame="1"/>
        </w:rPr>
        <w:t>3</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A052BC" w14:textId="6E9593EA" w:rsidR="00ED7E1B" w:rsidRDefault="00ED7E1B" w:rsidP="00ED7E1B">
      <w:pPr>
        <w:pStyle w:val="a7"/>
        <w:spacing w:line="240" w:lineRule="auto"/>
        <w:ind w:firstLine="0"/>
        <w:jc w:val="center"/>
        <w:rPr>
          <w:rFonts w:eastAsia="Calibri"/>
          <w:b/>
          <w:sz w:val="36"/>
          <w:szCs w:val="36"/>
        </w:rPr>
      </w:pPr>
      <w:r w:rsidRPr="00ED7E1B">
        <w:rPr>
          <w:rFonts w:eastAsia="Calibri"/>
          <w:b/>
          <w:sz w:val="36"/>
          <w:szCs w:val="36"/>
        </w:rPr>
        <w:t xml:space="preserve">Класифікація за ДК 021:2015: 15110000-2 - М’ясо (15111100-0 </w:t>
      </w:r>
      <w:r>
        <w:rPr>
          <w:rFonts w:eastAsia="Calibri"/>
          <w:b/>
          <w:sz w:val="36"/>
          <w:szCs w:val="36"/>
        </w:rPr>
        <w:t>–</w:t>
      </w:r>
      <w:r w:rsidRPr="00ED7E1B">
        <w:rPr>
          <w:rFonts w:eastAsia="Calibri"/>
          <w:b/>
          <w:sz w:val="36"/>
          <w:szCs w:val="36"/>
        </w:rPr>
        <w:t xml:space="preserve"> Яловичина</w:t>
      </w:r>
      <w:r>
        <w:rPr>
          <w:rFonts w:eastAsia="Calibri"/>
          <w:b/>
          <w:sz w:val="36"/>
          <w:szCs w:val="36"/>
        </w:rPr>
        <w:t xml:space="preserve">) </w:t>
      </w:r>
    </w:p>
    <w:p w14:paraId="0639AB80" w14:textId="7C38F14B" w:rsidR="000C66B3" w:rsidRDefault="00ED7E1B" w:rsidP="00ED7E1B">
      <w:pPr>
        <w:pStyle w:val="a7"/>
        <w:spacing w:line="240" w:lineRule="auto"/>
        <w:ind w:firstLine="0"/>
        <w:jc w:val="center"/>
        <w:rPr>
          <w:b/>
          <w:sz w:val="32"/>
          <w:szCs w:val="32"/>
        </w:rPr>
      </w:pPr>
      <w:r>
        <w:rPr>
          <w:rFonts w:eastAsia="Calibri"/>
          <w:b/>
          <w:sz w:val="36"/>
          <w:szCs w:val="36"/>
        </w:rPr>
        <w:t>Яловичина</w:t>
      </w: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5EE3670C" w14:textId="77777777" w:rsidR="00ED7E1B" w:rsidRDefault="00ED7E1B" w:rsidP="005C5C83">
      <w:pPr>
        <w:pStyle w:val="a7"/>
        <w:spacing w:line="240" w:lineRule="auto"/>
        <w:ind w:firstLine="0"/>
        <w:jc w:val="center"/>
        <w:rPr>
          <w:b/>
          <w:sz w:val="32"/>
          <w:szCs w:val="32"/>
        </w:rPr>
      </w:pPr>
    </w:p>
    <w:p w14:paraId="54F5311E" w14:textId="77777777" w:rsidR="00ED7E1B" w:rsidRDefault="00ED7E1B" w:rsidP="005C5C83">
      <w:pPr>
        <w:pStyle w:val="a7"/>
        <w:spacing w:line="240" w:lineRule="auto"/>
        <w:ind w:firstLine="0"/>
        <w:jc w:val="center"/>
        <w:rPr>
          <w:b/>
          <w:sz w:val="32"/>
          <w:szCs w:val="32"/>
        </w:rPr>
      </w:pPr>
    </w:p>
    <w:p w14:paraId="5D6A2C1B" w14:textId="77777777" w:rsidR="00ED7E1B" w:rsidRDefault="00ED7E1B"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7CA30D32" w14:textId="77777777" w:rsidR="001E78CC" w:rsidRPr="001E78CC" w:rsidRDefault="001E78CC" w:rsidP="001E78CC">
            <w:pPr>
              <w:shd w:val="clear" w:color="auto" w:fill="FFFFFF"/>
              <w:textAlignment w:val="baseline"/>
              <w:rPr>
                <w:rFonts w:ascii="Times New Roman" w:hAnsi="Times New Roman" w:cs="Times New Roman"/>
                <w:bCs/>
                <w:color w:val="000000"/>
                <w:sz w:val="24"/>
                <w:szCs w:val="24"/>
                <w:bdr w:val="none" w:sz="0" w:space="0" w:color="auto" w:frame="1"/>
              </w:rPr>
            </w:pPr>
            <w:r w:rsidRPr="001E78CC">
              <w:rPr>
                <w:rFonts w:ascii="Times New Roman" w:hAnsi="Times New Roman" w:cs="Times New Roman"/>
                <w:bCs/>
                <w:color w:val="000000"/>
                <w:sz w:val="24"/>
                <w:szCs w:val="24"/>
                <w:bdr w:val="none" w:sz="0" w:space="0" w:color="auto" w:frame="1"/>
              </w:rPr>
              <w:t xml:space="preserve">Класифікація за ДК 021:2015: 15110000-2 - М’ясо (15111100-0 – Яловичина) </w:t>
            </w:r>
          </w:p>
          <w:p w14:paraId="163E1F18" w14:textId="77777777" w:rsidR="001E78CC" w:rsidRPr="001E78CC" w:rsidRDefault="001E78CC" w:rsidP="001E78CC">
            <w:pPr>
              <w:shd w:val="clear" w:color="auto" w:fill="FFFFFF"/>
              <w:textAlignment w:val="baseline"/>
              <w:rPr>
                <w:rFonts w:ascii="Times New Roman" w:hAnsi="Times New Roman" w:cs="Times New Roman"/>
                <w:bCs/>
                <w:color w:val="000000"/>
                <w:sz w:val="24"/>
                <w:szCs w:val="24"/>
                <w:bdr w:val="none" w:sz="0" w:space="0" w:color="auto" w:frame="1"/>
              </w:rPr>
            </w:pPr>
            <w:r w:rsidRPr="001E78CC">
              <w:rPr>
                <w:rFonts w:ascii="Times New Roman" w:hAnsi="Times New Roman" w:cs="Times New Roman"/>
                <w:bCs/>
                <w:color w:val="000000"/>
                <w:sz w:val="24"/>
                <w:szCs w:val="24"/>
                <w:bdr w:val="none" w:sz="0" w:space="0" w:color="auto" w:frame="1"/>
              </w:rPr>
              <w:t>Яловичина</w:t>
            </w:r>
          </w:p>
          <w:p w14:paraId="026F1F81" w14:textId="76963CAF" w:rsidR="002049E6" w:rsidRPr="00C30F61" w:rsidRDefault="002049E6" w:rsidP="004927F6">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33AA2806"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w:t>
            </w:r>
            <w:r w:rsidR="005A3ABA">
              <w:rPr>
                <w:b/>
                <w:bCs/>
                <w:color w:val="000000"/>
                <w:sz w:val="24"/>
                <w:szCs w:val="24"/>
                <w:lang w:eastAsia="uk-UA"/>
              </w:rPr>
              <w:t>288</w:t>
            </w:r>
            <w:bookmarkStart w:id="2" w:name="_GoBack"/>
            <w:bookmarkEnd w:id="2"/>
            <w:r w:rsidR="001E78CC">
              <w:rPr>
                <w:b/>
                <w:bCs/>
                <w:color w:val="000000"/>
                <w:sz w:val="24"/>
                <w:szCs w:val="24"/>
                <w:lang w:eastAsia="uk-UA"/>
              </w:rPr>
              <w:t xml:space="preserve"> кілограм</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w:t>
            </w:r>
            <w:r w:rsidRPr="00C73E11">
              <w:rPr>
                <w:rFonts w:ascii="Times New Roman" w:hAnsi="Times New Roman" w:cs="Times New Roman"/>
                <w:b/>
                <w:color w:val="000000"/>
                <w:sz w:val="24"/>
                <w:szCs w:val="24"/>
              </w:rPr>
              <w:lastRenderedPageBreak/>
              <w:t>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w:t>
            </w:r>
            <w:r w:rsidRPr="004B1956">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w:t>
            </w:r>
            <w:r w:rsidRPr="00C61710">
              <w:rPr>
                <w:rFonts w:ascii="Times New Roman" w:eastAsia="Times New Roman" w:hAnsi="Times New Roman" w:cs="Times New Roman"/>
                <w:color w:val="000000"/>
                <w:sz w:val="24"/>
                <w:szCs w:val="24"/>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w:t>
            </w:r>
            <w:r w:rsidRPr="00C61710">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6A0031" w:rsidRPr="00E27676">
              <w:rPr>
                <w:rFonts w:ascii="Times New Roman" w:eastAsia="Times New Roman" w:hAnsi="Times New Roman" w:cs="Times New Roman"/>
                <w:color w:val="000000"/>
                <w:sz w:val="24"/>
                <w:szCs w:val="24"/>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w:t>
            </w:r>
            <w:r w:rsidRPr="00E27676">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61710">
              <w:rPr>
                <w:rFonts w:ascii="Times New Roman" w:eastAsia="Times New Roman" w:hAnsi="Times New Roman" w:cs="Times New Roman"/>
                <w:color w:val="000000"/>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0AD938FF"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106323">
              <w:rPr>
                <w:rFonts w:ascii="Times New Roman" w:eastAsia="Times New Roman" w:hAnsi="Times New Roman" w:cs="Times New Roman"/>
                <w:b/>
                <w:bCs/>
                <w:color w:val="000000"/>
                <w:sz w:val="24"/>
                <w:szCs w:val="24"/>
              </w:rPr>
              <w:t>01</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106323">
              <w:rPr>
                <w:rFonts w:ascii="Times New Roman" w:eastAsia="Times New Roman" w:hAnsi="Times New Roman" w:cs="Times New Roman"/>
                <w:b/>
                <w:bCs/>
                <w:color w:val="000000"/>
                <w:sz w:val="24"/>
                <w:szCs w:val="24"/>
              </w:rPr>
              <w:t>4</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lastRenderedPageBreak/>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w:t>
            </w:r>
            <w:r w:rsidRPr="00C61710">
              <w:rPr>
                <w:rFonts w:ascii="Times New Roman" w:eastAsia="Times New Roman" w:hAnsi="Times New Roman" w:cs="Times New Roman"/>
                <w:color w:val="000000"/>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61710">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FE4C5A">
              <w:rPr>
                <w:rFonts w:ascii="Times New Roman" w:eastAsia="Times New Roman" w:hAnsi="Times New Roman" w:cs="Times New Roman"/>
                <w:sz w:val="24"/>
                <w:szCs w:val="24"/>
              </w:rPr>
              <w:lastRenderedPageBreak/>
              <w:t>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w:t>
            </w:r>
            <w:r w:rsidRPr="00FE4C5A">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C61710">
              <w:rPr>
                <w:rFonts w:ascii="Times New Roman" w:eastAsia="Times New Roman" w:hAnsi="Times New Roman" w:cs="Times New Roman"/>
                <w:color w:val="000000"/>
                <w:sz w:val="24"/>
                <w:szCs w:val="24"/>
              </w:rPr>
              <w:lastRenderedPageBreak/>
              <w:t>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w:t>
            </w:r>
            <w:r w:rsidRPr="00282B94">
              <w:rPr>
                <w:rFonts w:ascii="Times New Roman" w:eastAsia="Times New Roman" w:hAnsi="Times New Roman" w:cs="Times New Roman"/>
                <w:color w:val="000000"/>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визначив конфіденційною інформацію, що не може </w:t>
            </w:r>
            <w:r w:rsidRPr="004B1956">
              <w:rPr>
                <w:rFonts w:ascii="Times New Roman" w:eastAsia="Times New Roman" w:hAnsi="Times New Roman" w:cs="Times New Roman"/>
                <w:sz w:val="24"/>
                <w:szCs w:val="24"/>
              </w:rPr>
              <w:lastRenderedPageBreak/>
              <w:t>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w:t>
            </w:r>
            <w:r w:rsidRPr="004B1956">
              <w:rPr>
                <w:rFonts w:ascii="Times New Roman" w:eastAsia="Times New Roman" w:hAnsi="Times New Roman" w:cs="Times New Roman"/>
                <w:sz w:val="24"/>
                <w:szCs w:val="24"/>
              </w:rPr>
              <w:lastRenderedPageBreak/>
              <w:t>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w:t>
            </w:r>
            <w:r w:rsidRPr="00C61710">
              <w:rPr>
                <w:rFonts w:ascii="Times New Roman" w:eastAsia="Times New Roman" w:hAnsi="Times New Roman" w:cs="Times New Roman"/>
                <w:color w:val="000000"/>
                <w:sz w:val="24"/>
                <w:szCs w:val="24"/>
                <w:highlight w:val="white"/>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E27676">
              <w:rPr>
                <w:rFonts w:ascii="Times New Roman" w:eastAsia="Times New Roman" w:hAnsi="Times New Roman" w:cs="Times New Roman"/>
                <w:sz w:val="24"/>
                <w:szCs w:val="24"/>
              </w:rPr>
              <w:lastRenderedPageBreak/>
              <w:t>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946E" w14:textId="77777777" w:rsidR="00172365" w:rsidRDefault="00172365">
      <w:r>
        <w:separator/>
      </w:r>
    </w:p>
  </w:endnote>
  <w:endnote w:type="continuationSeparator" w:id="0">
    <w:p w14:paraId="2D7C55A2" w14:textId="77777777" w:rsidR="00172365" w:rsidRDefault="0017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67A7" w14:textId="77777777" w:rsidR="00172365" w:rsidRDefault="00172365">
      <w:r>
        <w:separator/>
      </w:r>
    </w:p>
  </w:footnote>
  <w:footnote w:type="continuationSeparator" w:id="0">
    <w:p w14:paraId="00D42F92" w14:textId="77777777" w:rsidR="00172365" w:rsidRDefault="0017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A3ABA">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323"/>
    <w:rsid w:val="00106CAF"/>
    <w:rsid w:val="00107D13"/>
    <w:rsid w:val="0012713D"/>
    <w:rsid w:val="00132A17"/>
    <w:rsid w:val="0014128D"/>
    <w:rsid w:val="00155FDA"/>
    <w:rsid w:val="0016568B"/>
    <w:rsid w:val="00172365"/>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E78CC"/>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22CD"/>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3ABA"/>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A739F"/>
    <w:rsid w:val="006B6744"/>
    <w:rsid w:val="006C0E3A"/>
    <w:rsid w:val="006D2D2A"/>
    <w:rsid w:val="006D68CF"/>
    <w:rsid w:val="006D7B82"/>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C3F4F"/>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36F0"/>
    <w:rsid w:val="00B137F6"/>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65F58"/>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D7E1B"/>
    <w:rsid w:val="00EE0A81"/>
    <w:rsid w:val="00EE1306"/>
    <w:rsid w:val="00EF3E3F"/>
    <w:rsid w:val="00F02208"/>
    <w:rsid w:val="00F0226D"/>
    <w:rsid w:val="00F07F7D"/>
    <w:rsid w:val="00F249D5"/>
    <w:rsid w:val="00F24E6A"/>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24</Pages>
  <Words>8030</Words>
  <Characters>45776</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46</cp:revision>
  <cp:lastPrinted>2022-09-16T09:51:00Z</cp:lastPrinted>
  <dcterms:created xsi:type="dcterms:W3CDTF">2023-02-24T15:59:00Z</dcterms:created>
  <dcterms:modified xsi:type="dcterms:W3CDTF">2023-03-23T09:50:00Z</dcterms:modified>
</cp:coreProperties>
</file>