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DF4B3D" w:rsidRDefault="0061396E" w:rsidP="0061396E">
            <w:pPr>
              <w:ind w:left="158" w:right="-108"/>
              <w:jc w:val="right"/>
              <w:rPr>
                <w:bCs/>
              </w:rPr>
            </w:pPr>
            <w:r w:rsidRPr="007213EF">
              <w:rPr>
                <w:bCs/>
              </w:rPr>
              <w:t>в умовах воєнного стану</w:t>
            </w:r>
          </w:p>
          <w:p w:rsidR="00DF4B3D" w:rsidRPr="00015EC3" w:rsidRDefault="00DF4B3D" w:rsidP="00DF4B3D">
            <w:pPr>
              <w:spacing w:after="100" w:afterAutospacing="1"/>
              <w:contextualSpacing/>
              <w:jc w:val="right"/>
              <w:rPr>
                <w:bCs/>
                <w:color w:val="000000"/>
                <w:shd w:val="clear" w:color="auto" w:fill="FFFFFF"/>
              </w:rPr>
            </w:pPr>
            <w:r w:rsidRPr="00015EC3">
              <w:rPr>
                <w:bCs/>
              </w:rPr>
              <w:t xml:space="preserve">від </w:t>
            </w:r>
            <w:r w:rsidR="00292A5D">
              <w:rPr>
                <w:bCs/>
                <w:lang w:val="ru-RU"/>
              </w:rPr>
              <w:t>31</w:t>
            </w:r>
            <w:r w:rsidRPr="00015EC3">
              <w:rPr>
                <w:bCs/>
              </w:rPr>
              <w:t>.01.2024 р.</w:t>
            </w:r>
          </w:p>
          <w:p w:rsidR="00DF4B3D" w:rsidRPr="00DF4B3D" w:rsidRDefault="00DF4B3D" w:rsidP="00DF4B3D">
            <w:pPr>
              <w:spacing w:after="100" w:afterAutospacing="1"/>
              <w:contextualSpacing/>
              <w:jc w:val="right"/>
              <w:rPr>
                <w:bCs/>
                <w:lang w:val="ru-RU"/>
              </w:rPr>
            </w:pPr>
            <w:r w:rsidRPr="00015EC3">
              <w:rPr>
                <w:bCs/>
                <w:color w:val="000000"/>
                <w:shd w:val="clear" w:color="auto" w:fill="FFFFFF"/>
              </w:rPr>
              <w:t xml:space="preserve">Протокол № </w:t>
            </w:r>
            <w:r w:rsidR="00292A5D">
              <w:rPr>
                <w:bCs/>
                <w:color w:val="000000"/>
                <w:shd w:val="clear" w:color="auto" w:fill="FFFFFF"/>
                <w:lang w:val="ru-RU"/>
              </w:rPr>
              <w:t>21</w:t>
            </w:r>
          </w:p>
          <w:p w:rsidR="00EB496C" w:rsidRPr="007213EF" w:rsidRDefault="00EB496C" w:rsidP="0061396E">
            <w:pPr>
              <w:ind w:left="158" w:right="-108"/>
              <w:jc w:val="right"/>
              <w:rPr>
                <w:bCs/>
              </w:rPr>
            </w:pPr>
            <w:r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292A5D">
            <w:pPr>
              <w:ind w:left="158" w:right="-108"/>
              <w:jc w:val="right"/>
              <w:rPr>
                <w:bCs/>
              </w:rPr>
            </w:pPr>
            <w:r w:rsidRPr="0052688E">
              <w:rPr>
                <w:bCs/>
              </w:rPr>
              <w:t xml:space="preserve">Уповноважена особа </w:t>
            </w:r>
            <w:r w:rsidR="00292A5D">
              <w:rPr>
                <w:bCs/>
                <w:lang w:val="ru-RU"/>
              </w:rPr>
              <w:t xml:space="preserve">І.В. </w:t>
            </w:r>
            <w:proofErr w:type="spellStart"/>
            <w:r w:rsidR="00292A5D">
              <w:rPr>
                <w:bCs/>
                <w:lang w:val="ru-RU"/>
              </w:rPr>
              <w:t>Якін</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1.4. Посадові особи Замовника, уповноважені здійснювати зв'язок з учасниками</w:t>
      </w:r>
      <w:r w:rsidR="00292A5D">
        <w:t>:</w:t>
      </w:r>
      <w:r w:rsidRPr="0052688E">
        <w:t xml:space="preserve"> </w:t>
      </w:r>
      <w:r w:rsidR="00292A5D" w:rsidRPr="00292A5D">
        <w:rPr>
          <w:lang w:val="ru-RU"/>
        </w:rPr>
        <w:t xml:space="preserve">Заступник директора з </w:t>
      </w:r>
      <w:proofErr w:type="spellStart"/>
      <w:r w:rsidR="00292A5D" w:rsidRPr="00292A5D">
        <w:rPr>
          <w:lang w:val="ru-RU"/>
        </w:rPr>
        <w:t>функціонування</w:t>
      </w:r>
      <w:proofErr w:type="spellEnd"/>
      <w:r w:rsidR="00292A5D" w:rsidRPr="00292A5D">
        <w:rPr>
          <w:lang w:val="ru-RU"/>
        </w:rPr>
        <w:t xml:space="preserve"> </w:t>
      </w:r>
      <w:proofErr w:type="spellStart"/>
      <w:r w:rsidR="00292A5D" w:rsidRPr="00292A5D">
        <w:rPr>
          <w:lang w:val="ru-RU"/>
        </w:rPr>
        <w:t>побутових</w:t>
      </w:r>
      <w:proofErr w:type="spellEnd"/>
      <w:r w:rsidR="00292A5D" w:rsidRPr="00292A5D">
        <w:rPr>
          <w:lang w:val="ru-RU"/>
        </w:rPr>
        <w:t xml:space="preserve"> </w:t>
      </w:r>
      <w:proofErr w:type="spellStart"/>
      <w:r w:rsidR="00292A5D" w:rsidRPr="00292A5D">
        <w:rPr>
          <w:lang w:val="ru-RU"/>
        </w:rPr>
        <w:t>центрів</w:t>
      </w:r>
      <w:proofErr w:type="spellEnd"/>
      <w:r w:rsidR="00292A5D" w:rsidRPr="00292A5D">
        <w:rPr>
          <w:lang w:val="ru-RU"/>
        </w:rPr>
        <w:t xml:space="preserve"> </w:t>
      </w:r>
      <w:proofErr w:type="spellStart"/>
      <w:r w:rsidR="00292A5D" w:rsidRPr="00292A5D">
        <w:rPr>
          <w:lang w:val="ru-RU"/>
        </w:rPr>
        <w:t>Якін</w:t>
      </w:r>
      <w:proofErr w:type="spellEnd"/>
      <w:r w:rsidR="00292A5D" w:rsidRPr="00292A5D">
        <w:rPr>
          <w:lang w:val="ru-RU"/>
        </w:rPr>
        <w:t xml:space="preserve"> </w:t>
      </w:r>
      <w:proofErr w:type="spellStart"/>
      <w:r w:rsidR="00292A5D" w:rsidRPr="00292A5D">
        <w:rPr>
          <w:lang w:val="ru-RU"/>
        </w:rPr>
        <w:t>Іван</w:t>
      </w:r>
      <w:proofErr w:type="spellEnd"/>
      <w:r w:rsidR="00292A5D" w:rsidRPr="00292A5D">
        <w:rPr>
          <w:lang w:val="ru-RU"/>
        </w:rPr>
        <w:t xml:space="preserve"> </w:t>
      </w:r>
      <w:proofErr w:type="spellStart"/>
      <w:r w:rsidR="00292A5D" w:rsidRPr="00292A5D">
        <w:rPr>
          <w:lang w:val="ru-RU"/>
        </w:rPr>
        <w:t>Володимирович</w:t>
      </w:r>
      <w:proofErr w:type="spellEnd"/>
      <w:r w:rsidR="00601A1C">
        <w:t xml:space="preserve">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292A5D">
        <w:rPr>
          <w:b/>
          <w:color w:val="000000"/>
          <w:lang w:val="ru-RU" w:eastAsia="ru-RU"/>
        </w:rPr>
        <w:t>17</w:t>
      </w:r>
      <w:r w:rsidR="00DF4B3D" w:rsidRPr="00DF4B3D">
        <w:rPr>
          <w:b/>
          <w:color w:val="000000"/>
          <w:lang w:val="ru-RU" w:eastAsia="ru-RU"/>
        </w:rPr>
        <w:t xml:space="preserve">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292A5D" w:rsidRPr="00292A5D">
        <w:rPr>
          <w:b/>
          <w:color w:val="000000"/>
        </w:rPr>
        <w:t xml:space="preserve">Господарчі товари  для </w:t>
      </w:r>
      <w:proofErr w:type="spellStart"/>
      <w:r w:rsidR="00292A5D" w:rsidRPr="00292A5D">
        <w:rPr>
          <w:b/>
          <w:color w:val="000000"/>
        </w:rPr>
        <w:t>для</w:t>
      </w:r>
      <w:proofErr w:type="spellEnd"/>
      <w:r w:rsidR="00292A5D" w:rsidRPr="00292A5D">
        <w:rPr>
          <w:b/>
          <w:color w:val="000000"/>
        </w:rPr>
        <w:t xml:space="preserve"> здійснення заходів з підтримки </w:t>
      </w:r>
      <w:proofErr w:type="spellStart"/>
      <w:r w:rsidR="00292A5D" w:rsidRPr="00292A5D">
        <w:rPr>
          <w:b/>
          <w:color w:val="000000"/>
        </w:rPr>
        <w:t>внутрішньопереміщених</w:t>
      </w:r>
      <w:proofErr w:type="spellEnd"/>
      <w:r w:rsidR="00292A5D" w:rsidRPr="00292A5D">
        <w:rPr>
          <w:b/>
          <w:color w:val="000000"/>
        </w:rPr>
        <w:t xml:space="preserve">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292A5D">
        <w:rPr>
          <w:b/>
          <w:color w:val="000000"/>
          <w:shd w:val="clear" w:color="auto" w:fill="FDFEFD"/>
          <w:lang w:val="ru-RU"/>
        </w:rPr>
        <w:t>31</w:t>
      </w:r>
      <w:r w:rsidR="00ED1FD5">
        <w:rPr>
          <w:b/>
          <w:color w:val="000000"/>
          <w:shd w:val="clear" w:color="auto" w:fill="FDFEFD"/>
          <w:lang w:val="ru-RU"/>
        </w:rPr>
        <w:t xml:space="preserve"> од.</w:t>
      </w:r>
    </w:p>
    <w:p w:rsidR="00292A5D" w:rsidRDefault="006F4355" w:rsidP="00292A5D">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292A5D" w:rsidRPr="00292A5D">
        <w:rPr>
          <w:color w:val="000000"/>
          <w:shd w:val="clear" w:color="auto" w:fill="FDFEFD"/>
        </w:rPr>
        <w:t>39220000-0</w:t>
      </w:r>
      <w:r w:rsidR="00292A5D">
        <w:rPr>
          <w:color w:val="000000"/>
          <w:shd w:val="clear" w:color="auto" w:fill="FDFEFD"/>
        </w:rPr>
        <w:t xml:space="preserve"> </w:t>
      </w:r>
      <w:r w:rsidR="00292A5D" w:rsidRPr="00292A5D">
        <w:rPr>
          <w:color w:val="000000"/>
          <w:shd w:val="clear" w:color="auto" w:fill="FDFEFD"/>
        </w:rPr>
        <w:t xml:space="preserve"> Кухонне приладдя, товари для дому та господарства і приладдя для закладів громадського харчування</w:t>
      </w:r>
      <w:r w:rsidR="00292A5D" w:rsidRPr="00292A5D">
        <w:rPr>
          <w:color w:val="000000"/>
          <w:shd w:val="clear" w:color="auto" w:fill="FDFEFD"/>
        </w:rPr>
        <w:t xml:space="preserve"> </w:t>
      </w:r>
      <w:r w:rsidR="00292A5D">
        <w:rPr>
          <w:color w:val="000000"/>
          <w:shd w:val="clear" w:color="auto" w:fill="FDFEFD"/>
        </w:rPr>
        <w:t xml:space="preserve"> </w:t>
      </w:r>
    </w:p>
    <w:p w:rsidR="0080405E" w:rsidRDefault="00AB76F8" w:rsidP="00292A5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sidR="00DF4B3D">
        <w:rPr>
          <w:rFonts w:eastAsia="Calibri"/>
          <w:lang w:val="ru-RU" w:eastAsia="ru-RU"/>
        </w:rPr>
        <w:t>21021</w:t>
      </w:r>
      <w:r>
        <w:rPr>
          <w:rFonts w:eastAsia="Calibri"/>
          <w:lang w:eastAsia="ru-RU"/>
        </w:rPr>
        <w:t>,</w:t>
      </w:r>
      <w:r w:rsidR="00ED1FD5">
        <w:rPr>
          <w:rFonts w:eastAsia="Calibri"/>
          <w:lang w:eastAsia="ru-RU"/>
        </w:rPr>
        <w:t xml:space="preserve"> </w:t>
      </w:r>
      <w:proofErr w:type="spellStart"/>
      <w:r w:rsidR="00DF4B3D">
        <w:rPr>
          <w:rFonts w:eastAsia="Calibri"/>
          <w:lang w:val="ru-RU" w:eastAsia="ru-RU"/>
        </w:rPr>
        <w:t>Вінницька</w:t>
      </w:r>
      <w:proofErr w:type="spellEnd"/>
      <w:r w:rsidR="00DF4B3D">
        <w:rPr>
          <w:rFonts w:eastAsia="Calibri"/>
          <w:lang w:val="ru-RU" w:eastAsia="ru-RU"/>
        </w:rPr>
        <w:t xml:space="preserve"> область, </w:t>
      </w:r>
      <w:r w:rsidR="00DF4B3D" w:rsidRPr="00DF4B3D">
        <w:rPr>
          <w:rFonts w:eastAsia="Calibri"/>
          <w:lang w:eastAsia="ru-RU"/>
        </w:rPr>
        <w:t>м.</w:t>
      </w:r>
      <w:r w:rsidR="00DF4B3D">
        <w:rPr>
          <w:rFonts w:eastAsia="Calibri"/>
          <w:lang w:eastAsia="ru-RU"/>
        </w:rPr>
        <w:t xml:space="preserve"> </w:t>
      </w:r>
      <w:r w:rsidR="00DF4B3D" w:rsidRPr="00DF4B3D">
        <w:rPr>
          <w:rFonts w:eastAsia="Calibri"/>
          <w:lang w:eastAsia="ru-RU"/>
        </w:rPr>
        <w:t>Вінниця, Хмельницьке шоссе,85</w:t>
      </w:r>
      <w:r>
        <w:rPr>
          <w:rFonts w:eastAsia="Calibri"/>
          <w:lang w:eastAsia="ru-RU"/>
        </w:rPr>
        <w:t>;</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953008">
        <w:rPr>
          <w:b/>
        </w:rPr>
        <w:t>2</w:t>
      </w:r>
      <w:r w:rsidR="00292A5D">
        <w:rPr>
          <w:b/>
        </w:rPr>
        <w:t>5</w:t>
      </w:r>
      <w:r w:rsidR="00DF4B3D">
        <w:rPr>
          <w:b/>
        </w:rPr>
        <w:t>.02.2024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DF4B3D" w:rsidRDefault="00AB76F8" w:rsidP="00D34BF7">
      <w:pPr>
        <w:tabs>
          <w:tab w:val="num" w:pos="-180"/>
          <w:tab w:val="left" w:pos="900"/>
          <w:tab w:val="left" w:pos="1260"/>
        </w:tabs>
        <w:ind w:firstLine="284"/>
        <w:jc w:val="both"/>
        <w:rPr>
          <w:lang w:val="ru-RU"/>
        </w:rPr>
      </w:pPr>
      <w:r w:rsidRPr="0052688E">
        <w:lastRenderedPageBreak/>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292A5D">
        <w:rPr>
          <w:rFonts w:cs="Times New Roman CYR"/>
          <w:bCs/>
          <w:lang w:val="ru-RU"/>
        </w:rPr>
        <w:t>07</w:t>
      </w:r>
      <w:r w:rsidR="00DF4B3D" w:rsidRPr="00DF4B3D">
        <w:rPr>
          <w:rFonts w:cs="Times New Roman CYR"/>
          <w:bCs/>
          <w:lang w:val="ru-RU"/>
        </w:rPr>
        <w:t>.0</w:t>
      </w:r>
      <w:r w:rsidR="00292A5D">
        <w:rPr>
          <w:rFonts w:cs="Times New Roman CYR"/>
          <w:bCs/>
          <w:lang w:val="ru-RU"/>
        </w:rPr>
        <w:t>2</w:t>
      </w:r>
      <w:r w:rsidR="00081324" w:rsidRPr="00DF4B3D">
        <w:rPr>
          <w:rFonts w:cs="Times New Roman CYR"/>
          <w:bCs/>
        </w:rPr>
        <w:t>.202</w:t>
      </w:r>
      <w:r w:rsidR="00DF4B3D" w:rsidRPr="00DF4B3D">
        <w:rPr>
          <w:rFonts w:cs="Times New Roman CYR"/>
          <w:bCs/>
        </w:rPr>
        <w:t>4</w:t>
      </w:r>
    </w:p>
    <w:p w:rsidR="00D34BF7" w:rsidRPr="00F212E2" w:rsidRDefault="000D5587" w:rsidP="00D34BF7">
      <w:pPr>
        <w:tabs>
          <w:tab w:val="num" w:pos="-180"/>
          <w:tab w:val="left" w:pos="900"/>
          <w:tab w:val="left" w:pos="1260"/>
        </w:tabs>
        <w:ind w:firstLine="284"/>
        <w:jc w:val="both"/>
      </w:pPr>
      <w:r w:rsidRPr="00DF4B3D">
        <w:rPr>
          <w:rFonts w:cs="Times New Roman CYR"/>
          <w:bCs/>
        </w:rPr>
        <w:t>7. Дата</w:t>
      </w:r>
      <w:r w:rsidR="00B1441E" w:rsidRPr="00DF4B3D">
        <w:rPr>
          <w:rFonts w:cs="Times New Roman CYR"/>
          <w:bCs/>
        </w:rPr>
        <w:t xml:space="preserve"> початку подання пропозицій </w:t>
      </w:r>
      <w:r w:rsidR="00292A5D">
        <w:rPr>
          <w:rFonts w:cs="Times New Roman CYR"/>
          <w:bCs/>
          <w:lang w:val="ru-RU"/>
        </w:rPr>
        <w:t>07.02</w:t>
      </w:r>
      <w:r w:rsidR="00DF4B3D" w:rsidRPr="00DF4B3D">
        <w:rPr>
          <w:rFonts w:cs="Times New Roman CYR"/>
          <w:bCs/>
          <w:lang w:val="ru-RU"/>
        </w:rPr>
        <w:t>.2024</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292A5D">
        <w:rPr>
          <w:rFonts w:cs="Times New Roman CYR"/>
          <w:bCs/>
          <w:lang w:val="ru-RU"/>
        </w:rPr>
        <w:t>10.02</w:t>
      </w:r>
      <w:r w:rsidR="00DF4B3D">
        <w:rPr>
          <w:rFonts w:cs="Times New Roman CYR"/>
          <w:bCs/>
          <w:lang w:val="ru-RU"/>
        </w:rPr>
        <w:t>.2024</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292A5D" w:rsidRDefault="00CD1954" w:rsidP="000C7DE8">
      <w:pPr>
        <w:numPr>
          <w:ilvl w:val="0"/>
          <w:numId w:val="1"/>
        </w:numPr>
        <w:tabs>
          <w:tab w:val="clear" w:pos="720"/>
          <w:tab w:val="left" w:pos="-357"/>
          <w:tab w:val="num" w:pos="360"/>
        </w:tabs>
        <w:suppressAutoHyphens/>
        <w:ind w:left="142" w:firstLine="425"/>
        <w:jc w:val="both"/>
        <w:rPr>
          <w:color w:val="000000"/>
        </w:rPr>
      </w:pPr>
      <w:r w:rsidRPr="00292A5D">
        <w:rPr>
          <w:color w:val="000000"/>
        </w:rPr>
        <w:t>витяг з Єдиного державного реєстру юридичних осіб та фізичних осіб – підприємців (або виписка);</w:t>
      </w:r>
    </w:p>
    <w:p w:rsidR="00CD1954" w:rsidRPr="00292A5D" w:rsidRDefault="00CD1954" w:rsidP="000C7DE8">
      <w:pPr>
        <w:numPr>
          <w:ilvl w:val="0"/>
          <w:numId w:val="1"/>
        </w:numPr>
        <w:tabs>
          <w:tab w:val="clear" w:pos="720"/>
          <w:tab w:val="left" w:pos="-357"/>
          <w:tab w:val="num" w:pos="360"/>
        </w:tabs>
        <w:suppressAutoHyphens/>
        <w:ind w:left="142" w:firstLine="425"/>
        <w:jc w:val="both"/>
      </w:pPr>
      <w:r w:rsidRPr="00292A5D">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292A5D" w:rsidRDefault="00CD1954" w:rsidP="00B1441E">
      <w:pPr>
        <w:numPr>
          <w:ilvl w:val="0"/>
          <w:numId w:val="1"/>
        </w:numPr>
        <w:tabs>
          <w:tab w:val="clear" w:pos="720"/>
          <w:tab w:val="left" w:pos="-357"/>
          <w:tab w:val="num" w:pos="360"/>
        </w:tabs>
        <w:suppressAutoHyphens/>
        <w:ind w:left="142" w:firstLine="425"/>
        <w:jc w:val="both"/>
      </w:pPr>
      <w:r w:rsidRPr="00292A5D">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rsidRPr="00292A5D">
        <w:t>;</w:t>
      </w:r>
    </w:p>
    <w:p w:rsidR="000D5458" w:rsidRPr="00292A5D" w:rsidRDefault="006C00EB" w:rsidP="000D5458">
      <w:pPr>
        <w:ind w:firstLine="142"/>
      </w:pPr>
      <w:r w:rsidRPr="00292A5D">
        <w:t xml:space="preserve">       </w:t>
      </w:r>
      <w:r w:rsidR="000D5458" w:rsidRPr="00292A5D">
        <w:t>- заповнену комерційну пропозицію спрощеної закупівлі згідно додатку 2 до оголошення</w:t>
      </w:r>
      <w:r w:rsidR="0002567A" w:rsidRPr="00292A5D">
        <w:t>;</w:t>
      </w:r>
    </w:p>
    <w:p w:rsidR="0002567A" w:rsidRPr="00292A5D" w:rsidRDefault="0002567A" w:rsidP="0002567A">
      <w:pPr>
        <w:numPr>
          <w:ilvl w:val="0"/>
          <w:numId w:val="1"/>
        </w:numPr>
        <w:tabs>
          <w:tab w:val="clear" w:pos="720"/>
          <w:tab w:val="left" w:pos="-357"/>
          <w:tab w:val="num" w:pos="360"/>
        </w:tabs>
        <w:suppressAutoHyphens/>
        <w:ind w:left="142" w:firstLine="425"/>
        <w:jc w:val="both"/>
      </w:pPr>
      <w:r w:rsidRPr="00292A5D">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292A5D" w:rsidRDefault="0002567A" w:rsidP="0002567A">
      <w:pPr>
        <w:numPr>
          <w:ilvl w:val="0"/>
          <w:numId w:val="1"/>
        </w:numPr>
        <w:tabs>
          <w:tab w:val="clear" w:pos="720"/>
          <w:tab w:val="left" w:pos="-357"/>
          <w:tab w:val="num" w:pos="360"/>
        </w:tabs>
        <w:suppressAutoHyphens/>
        <w:ind w:left="142" w:firstLine="425"/>
        <w:jc w:val="both"/>
      </w:pPr>
      <w:r w:rsidRPr="00292A5D">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292A5D" w:rsidRDefault="0002567A" w:rsidP="0002567A">
      <w:pPr>
        <w:keepNext/>
        <w:keepLines/>
        <w:suppressAutoHyphens/>
        <w:ind w:firstLine="567"/>
        <w:jc w:val="both"/>
        <w:rPr>
          <w:kern w:val="1"/>
          <w:lang w:eastAsia="hi-IN" w:bidi="hi-IN"/>
        </w:rPr>
      </w:pPr>
      <w:r w:rsidRPr="00292A5D">
        <w:rPr>
          <w:kern w:val="1"/>
          <w:lang w:eastAsia="hi-IN" w:bidi="hi-IN"/>
        </w:rPr>
        <w:lastRenderedPageBreak/>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292A5D">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bookmarkStart w:id="4" w:name="_GoBack"/>
      <w:bookmarkEnd w:id="4"/>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1DF1"/>
    <w:rsid w:val="00233677"/>
    <w:rsid w:val="002353CC"/>
    <w:rsid w:val="002358B9"/>
    <w:rsid w:val="00247788"/>
    <w:rsid w:val="00255E1E"/>
    <w:rsid w:val="00263089"/>
    <w:rsid w:val="00264305"/>
    <w:rsid w:val="00270AA7"/>
    <w:rsid w:val="0029043A"/>
    <w:rsid w:val="00292A5D"/>
    <w:rsid w:val="002A3574"/>
    <w:rsid w:val="002B7BD5"/>
    <w:rsid w:val="002D0545"/>
    <w:rsid w:val="002D56C4"/>
    <w:rsid w:val="002D7DFA"/>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017C"/>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0ECF"/>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4690-E157-4258-85EE-09E0FBE4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2023-10-16T19:36:00Z</dcterms:created>
  <dcterms:modified xsi:type="dcterms:W3CDTF">2024-01-30T22:23:00Z</dcterms:modified>
</cp:coreProperties>
</file>