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93BC6A5" w14:textId="21949462" w:rsidR="00DF7022" w:rsidRPr="00F92D48" w:rsidRDefault="00A17FBD" w:rsidP="00DF7022">
      <w:pPr>
        <w:spacing w:before="240" w:after="0" w:line="240" w:lineRule="auto"/>
        <w:jc w:val="center"/>
        <w:rPr>
          <w:rFonts w:ascii="Times New Roman" w:eastAsia="Times New Roman" w:hAnsi="Times New Roman"/>
          <w:b/>
          <w:sz w:val="36"/>
          <w:szCs w:val="36"/>
          <w:lang w:val="uk-UA" w:eastAsia="ru-RU"/>
        </w:rPr>
      </w:pPr>
      <w:r w:rsidRPr="00A17FBD">
        <w:rPr>
          <w:rFonts w:ascii="Times New Roman" w:hAnsi="Times New Roman"/>
          <w:b/>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r w:rsidR="00AF53CD" w:rsidRPr="00F92D48">
        <w:rPr>
          <w:rFonts w:ascii="Times New Roman" w:hAnsi="Times New Roman"/>
          <w:b/>
          <w:sz w:val="36"/>
          <w:szCs w:val="36"/>
          <w:lang w:val="uk-UA"/>
        </w:rPr>
        <w:t>.</w:t>
      </w:r>
    </w:p>
    <w:p w14:paraId="081B77AF" w14:textId="20CB27AD"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3FA89AD7" w14:textId="42490777"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F0327F"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2C4AC809" w:rsidR="00B413F2" w:rsidRPr="00B413F2" w:rsidRDefault="00A17FBD" w:rsidP="00A67393">
            <w:pPr>
              <w:spacing w:before="150" w:after="150" w:line="240" w:lineRule="auto"/>
              <w:jc w:val="both"/>
              <w:rPr>
                <w:rFonts w:ascii="Times New Roman" w:eastAsia="Times New Roman" w:hAnsi="Times New Roman"/>
                <w:sz w:val="24"/>
                <w:szCs w:val="24"/>
                <w:lang w:val="uk-UA" w:eastAsia="ru-RU"/>
              </w:rPr>
            </w:pPr>
            <w:r w:rsidRPr="00A17FBD">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будівля учбово-курсового комбінату КП «ОМЕТ», що розташована за адресою: м. Одеса, вул. Водопровідна, 1 згідно до ДК 021:2015- 50710000-5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w:t>
            </w:r>
            <w:r w:rsidRPr="00B413F2">
              <w:rPr>
                <w:rFonts w:ascii="Times New Roman" w:eastAsia="Times New Roman" w:hAnsi="Times New Roman"/>
                <w:sz w:val="24"/>
                <w:szCs w:val="24"/>
                <w:lang w:val="uk-UA" w:eastAsia="ru-RU"/>
              </w:rPr>
              <w:lastRenderedPageBreak/>
              <w:t>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50D8A40E"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 xml:space="preserve">65000, </w:t>
            </w:r>
            <w:r w:rsidR="007C6444" w:rsidRPr="007C6444">
              <w:rPr>
                <w:lang w:val="uk-UA" w:eastAsia="zh-CN"/>
              </w:rPr>
              <w:t>м. Одеса, вул. Водопровідна, 1</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w:t>
            </w:r>
            <w:r w:rsidRPr="004411EC">
              <w:rPr>
                <w:rFonts w:ascii="Times New Roman" w:eastAsia="Times New Roman" w:hAnsi="Times New Roman"/>
                <w:sz w:val="24"/>
                <w:szCs w:val="24"/>
                <w:lang w:val="uk-UA" w:eastAsia="ru-RU"/>
              </w:rPr>
              <w:lastRenderedPageBreak/>
              <w:t>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F0327F"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F0327F"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Зміст і спосіб </w:t>
            </w:r>
            <w:r w:rsidRPr="00B413F2">
              <w:rPr>
                <w:rFonts w:ascii="Times New Roman" w:eastAsia="Times New Roman" w:hAnsi="Times New Roman"/>
                <w:sz w:val="24"/>
                <w:szCs w:val="24"/>
                <w:lang w:val="uk-UA" w:eastAsia="ru-RU"/>
              </w:rPr>
              <w:lastRenderedPageBreak/>
              <w:t>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lastRenderedPageBreak/>
              <w:t xml:space="preserve">Тендерна пропозиція подається в електронному вигляді через </w:t>
            </w:r>
            <w:r w:rsidRPr="009C75F6">
              <w:rPr>
                <w:rFonts w:ascii="Times New Roman" w:eastAsia="Times New Roman" w:hAnsi="Times New Roman"/>
                <w:sz w:val="24"/>
                <w:szCs w:val="24"/>
                <w:lang w:val="uk-UA" w:eastAsia="ru-RU"/>
              </w:rPr>
              <w:lastRenderedPageBreak/>
              <w:t>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w:t>
            </w:r>
            <w:r w:rsidRPr="00717447">
              <w:rPr>
                <w:rFonts w:ascii="Times New Roman" w:eastAsia="Times New Roman" w:hAnsi="Times New Roman"/>
                <w:sz w:val="24"/>
                <w:szCs w:val="24"/>
                <w:lang w:val="uk-UA" w:eastAsia="ru-RU"/>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Pr>
                <w:rFonts w:ascii="Times New Roman" w:eastAsia="Times New Roman" w:hAnsi="Times New Roman"/>
                <w:b/>
                <w:bCs/>
                <w:color w:val="000000"/>
                <w:sz w:val="24"/>
                <w:szCs w:val="24"/>
                <w:lang w:val="uk-UA" w:eastAsia="ru-RU"/>
              </w:rPr>
              <w:lastRenderedPageBreak/>
              <w:t xml:space="preserve">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hyperlink r:id="rId7" w:anchor="n1422" w:history="1">
              <w:r>
                <w:rPr>
                  <w:rStyle w:val="a3"/>
                  <w:rFonts w:ascii="Times New Roman" w:hAnsi="Times New Roman"/>
                  <w:i/>
                  <w:color w:val="000000"/>
                  <w:sz w:val="20"/>
                  <w:szCs w:val="20"/>
                  <w:shd w:val="clear" w:color="auto" w:fill="FFFFFF"/>
                  <w:lang w:val="uk-UA"/>
                </w:rPr>
                <w:t>абзацом першим</w:t>
              </w:r>
            </w:hyperlink>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17447">
              <w:rPr>
                <w:rFonts w:ascii="Times New Roman" w:eastAsia="Times New Roman" w:hAnsi="Times New Roman"/>
                <w:sz w:val="24"/>
                <w:szCs w:val="24"/>
                <w:lang w:val="uk-UA" w:eastAsia="ru-RU"/>
              </w:rPr>
              <w:lastRenderedPageBreak/>
              <w:t xml:space="preserve">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F0327F"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F0327F"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F0327F"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w:t>
            </w:r>
            <w:r w:rsidRPr="00B413F2">
              <w:rPr>
                <w:rFonts w:ascii="Times New Roman" w:eastAsia="Times New Roman" w:hAnsi="Times New Roman"/>
                <w:sz w:val="24"/>
                <w:szCs w:val="24"/>
                <w:lang w:val="uk-UA" w:eastAsia="ru-RU"/>
              </w:rPr>
              <w:lastRenderedPageBreak/>
              <w:t>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w:t>
            </w:r>
            <w:r w:rsidRPr="00DC0363">
              <w:rPr>
                <w:rFonts w:ascii="Times New Roman" w:eastAsia="Times New Roman" w:hAnsi="Times New Roman"/>
                <w:sz w:val="24"/>
                <w:szCs w:val="24"/>
                <w:lang w:val="uk-UA" w:eastAsia="ru-RU"/>
              </w:rPr>
              <w:lastRenderedPageBreak/>
              <w:t>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F0327F"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F0327F"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F0327F"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8F67DC">
                <w:rPr>
                  <w:rStyle w:val="a3"/>
                  <w:rFonts w:ascii="Times New Roman" w:eastAsia="Times New Roman" w:hAnsi="Times New Roman"/>
                  <w:sz w:val="24"/>
                  <w:szCs w:val="24"/>
                  <w:lang w:val="uk-UA" w:eastAsia="ru-RU"/>
                </w:rPr>
                <w:t>https://prozorro.gov.ua/search/products</w:t>
              </w:r>
            </w:hyperlink>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3750717F"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F92D48">
              <w:rPr>
                <w:rFonts w:ascii="Times New Roman" w:eastAsia="Times New Roman" w:hAnsi="Times New Roman"/>
                <w:sz w:val="24"/>
                <w:szCs w:val="24"/>
                <w:lang w:val="uk-UA" w:eastAsia="ru-RU"/>
              </w:rPr>
              <w:t>0</w:t>
            </w:r>
            <w:r w:rsidR="00F0327F">
              <w:rPr>
                <w:rFonts w:ascii="Times New Roman" w:eastAsia="Times New Roman" w:hAnsi="Times New Roman"/>
                <w:sz w:val="24"/>
                <w:szCs w:val="24"/>
                <w:lang w:val="uk-UA" w:eastAsia="ru-RU"/>
              </w:rPr>
              <w:t>2</w:t>
            </w:r>
            <w:bookmarkStart w:id="1" w:name="_GoBack"/>
            <w:bookmarkEnd w:id="1"/>
            <w:r w:rsidR="00F92D48">
              <w:rPr>
                <w:rFonts w:ascii="Times New Roman" w:eastAsia="Times New Roman" w:hAnsi="Times New Roman"/>
                <w:sz w:val="24"/>
                <w:szCs w:val="24"/>
                <w:lang w:val="uk-UA" w:eastAsia="ru-RU"/>
              </w:rPr>
              <w:t xml:space="preserve"> березня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sidRPr="00016C3E">
              <w:rPr>
                <w:rFonts w:ascii="Times New Roman" w:eastAsia="Times New Roman" w:hAnsi="Times New Roman"/>
                <w:sz w:val="24"/>
                <w:szCs w:val="24"/>
                <w:lang w:val="uk-UA" w:eastAsia="ru-RU"/>
              </w:rPr>
              <w:lastRenderedPageBreak/>
              <w:t xml:space="preserve">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F0327F"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7A5C">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F0327F"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7A5C">
              <w:rPr>
                <w:rFonts w:ascii="Times New Roman" w:eastAsia="Times New Roman" w:hAnsi="Times New Roman"/>
                <w:sz w:val="24"/>
                <w:szCs w:val="24"/>
                <w:lang w:val="uk-UA"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sidRPr="00B413F2">
              <w:rPr>
                <w:rFonts w:ascii="Times New Roman" w:eastAsia="Times New Roman" w:hAnsi="Times New Roman"/>
                <w:sz w:val="24"/>
                <w:szCs w:val="24"/>
                <w:lang w:val="uk-UA" w:eastAsia="ru-RU"/>
              </w:rPr>
              <w:lastRenderedPageBreak/>
              <w:t xml:space="preserve">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77A5C">
              <w:rPr>
                <w:rFonts w:ascii="Times New Roman" w:eastAsia="Times New Roman" w:hAnsi="Times New Roman"/>
                <w:sz w:val="24"/>
                <w:szCs w:val="24"/>
                <w:lang w:val="uk-UA" w:eastAsia="ru-RU"/>
              </w:rPr>
              <w:lastRenderedPageBreak/>
              <w:t>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9"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договору про </w:t>
            </w:r>
            <w:r w:rsidRPr="00B413F2">
              <w:rPr>
                <w:rFonts w:ascii="Times New Roman" w:eastAsia="Times New Roman" w:hAnsi="Times New Roman"/>
                <w:sz w:val="24"/>
                <w:szCs w:val="24"/>
                <w:lang w:val="uk-UA" w:eastAsia="ru-RU"/>
              </w:rPr>
              <w:lastRenderedPageBreak/>
              <w:t>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lastRenderedPageBreak/>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або </w:t>
            </w:r>
            <w:r w:rsidRPr="000D5A4D">
              <w:rPr>
                <w:rFonts w:ascii="Times New Roman" w:eastAsia="Times New Roman" w:hAnsi="Times New Roman"/>
                <w:sz w:val="24"/>
                <w:szCs w:val="24"/>
                <w:lang w:val="uk-UA" w:eastAsia="ru-RU"/>
              </w:rPr>
              <w:lastRenderedPageBreak/>
              <w:t>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55BA3"/>
    <w:rsid w:val="007654DA"/>
    <w:rsid w:val="00775509"/>
    <w:rsid w:val="00796D4E"/>
    <w:rsid w:val="007A2C33"/>
    <w:rsid w:val="007A34BA"/>
    <w:rsid w:val="007C6444"/>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17FBD"/>
    <w:rsid w:val="00A67393"/>
    <w:rsid w:val="00A91173"/>
    <w:rsid w:val="00AA6430"/>
    <w:rsid w:val="00AC2592"/>
    <w:rsid w:val="00AD069D"/>
    <w:rsid w:val="00AF53CD"/>
    <w:rsid w:val="00B060FF"/>
    <w:rsid w:val="00B413F2"/>
    <w:rsid w:val="00BD54BF"/>
    <w:rsid w:val="00BE4F83"/>
    <w:rsid w:val="00C07DFA"/>
    <w:rsid w:val="00C42478"/>
    <w:rsid w:val="00C80219"/>
    <w:rsid w:val="00C961FE"/>
    <w:rsid w:val="00CB1DF9"/>
    <w:rsid w:val="00CB7CD4"/>
    <w:rsid w:val="00CE12A9"/>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0327F"/>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pome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F4BD-F6EA-4C31-B8E7-C028DCD2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7188</Words>
  <Characters>40977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2022-10-19T15:48:00Z</dcterms:created>
  <dcterms:modified xsi:type="dcterms:W3CDTF">2023-02-22T08:11:00Z</dcterms:modified>
</cp:coreProperties>
</file>