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ПРОТОКОЛ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ЩОДО ПРИЙНЯТТЯ РІШЕННЯ УПОВНОВАЖЕНОЮ ОСОБОЮ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9.0" w:type="dxa"/>
        <w:jc w:val="left"/>
        <w:tblInd w:w="-10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36"/>
        <w:gridCol w:w="1209"/>
        <w:gridCol w:w="4394"/>
        <w:tblGridChange w:id="0">
          <w:tblGrid>
            <w:gridCol w:w="4236"/>
            <w:gridCol w:w="1209"/>
            <w:gridCol w:w="4394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01.03.2024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Київ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№ 114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/>
      </w:pPr>
      <w:r w:rsidDel="00000000" w:rsidR="00000000" w:rsidRPr="00000000">
        <w:rPr>
          <w:rtl w:val="0"/>
        </w:rPr>
        <w:t xml:space="preserve">Керуючись вимогами статті 11 та 24 Закону України «Про публічні закупівлі» (далі - Закон), Положенням про уповноважену особу, що затверджене рішенням дирекції Державного публічного акціонерного товариства «Національна акціонерна компанія «Украгролізинг» від 22.12.2021 року та п. 54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(зі змінами) (далі - Особливості).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/>
      </w:pPr>
      <w:r w:rsidDel="00000000" w:rsidR="00000000" w:rsidRPr="00000000">
        <w:rPr>
          <w:rtl w:val="0"/>
        </w:rPr>
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/>
      </w:pPr>
      <w:r w:rsidDel="00000000" w:rsidR="00000000" w:rsidRPr="00000000">
        <w:rPr>
          <w:rtl w:val="0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860"/>
        <w:rPr>
          <w:b w:val="1"/>
        </w:rPr>
      </w:pPr>
      <w:r w:rsidDel="00000000" w:rsidR="00000000" w:rsidRPr="00000000">
        <w:rPr>
          <w:b w:val="1"/>
          <w:rtl w:val="0"/>
        </w:rPr>
        <w:t xml:space="preserve">ВИРІШИВ: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Внести змін до тендерної документації (далі – ТД) на закупівлю «Фронтальні ковшові навантажувачі» - за кодом CPV за ДК 021:2015 - 43250000-0 (Автонавантажувач телескопічний колісний, б/в, JCB 531-70)  – 1 од. </w:t>
      </w:r>
      <w:r w:rsidDel="00000000" w:rsidR="00000000" w:rsidRPr="00000000">
        <w:rPr>
          <w:color w:val="000000"/>
          <w:rtl w:val="0"/>
        </w:rPr>
        <w:t xml:space="preserve">(Далі – Предмет Закупівлі)</w:t>
      </w:r>
      <w:r w:rsidDel="00000000" w:rsidR="00000000" w:rsidRPr="00000000">
        <w:rPr>
          <w:rtl w:val="0"/>
        </w:rPr>
        <w:t xml:space="preserve">. (Ідентифікатор закупівлі UA-2024-02-27-009544-a). Внести зміни в пункт 2 “Забезпечення тендерної пропозиції” в розділу 3 “Інструкція з підготовки тендерної пропозиції” та викласти його в наступному змісті:</w:t>
      </w:r>
    </w:p>
    <w:p w:rsidR="00000000" w:rsidDel="00000000" w:rsidP="00000000" w:rsidRDefault="00000000" w:rsidRPr="00000000" w14:paraId="0000000E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ind w:left="0" w:firstLine="708.6614173228347"/>
        <w:jc w:val="both"/>
        <w:rPr/>
      </w:pPr>
      <w:r w:rsidDel="00000000" w:rsidR="00000000" w:rsidRPr="00000000">
        <w:rPr>
          <w:rtl w:val="0"/>
        </w:rPr>
        <w:t xml:space="preserve">«Учасник надає Замовнику гарантії виконання своїх зобов’язань у зв’язку з поданням тендерної пропозиції у вигляді електронної банківської гарантії, яка надається одночасно з поданням тендерної пропозиції.</w:t>
      </w:r>
    </w:p>
    <w:p w:rsidR="00000000" w:rsidDel="00000000" w:rsidP="00000000" w:rsidRDefault="00000000" w:rsidRPr="00000000" w14:paraId="00000010">
      <w:pPr>
        <w:spacing w:after="0" w:before="0" w:lineRule="auto"/>
        <w:ind w:left="0" w:right="-20" w:firstLine="708.6614173228347"/>
        <w:jc w:val="both"/>
        <w:rPr/>
      </w:pPr>
      <w:r w:rsidDel="00000000" w:rsidR="00000000" w:rsidRPr="00000000">
        <w:rPr>
          <w:rtl w:val="0"/>
        </w:rPr>
        <w:t xml:space="preserve">Замовник вимагає надання забезпечення тендерної пропозиції у формі електронної банківської гарантії у розмірі 2,5 % від очікуваної вартості закупівлі (очікувана вартість закупівлі 2 296 000,00 грн), що становить 57 400,00 грн.</w:t>
      </w:r>
    </w:p>
    <w:p w:rsidR="00000000" w:rsidDel="00000000" w:rsidP="00000000" w:rsidRDefault="00000000" w:rsidRPr="00000000" w14:paraId="00000011">
      <w:pPr>
        <w:spacing w:after="0" w:before="0" w:lineRule="auto"/>
        <w:ind w:left="0" w:right="-20" w:firstLine="708.6614173228347"/>
        <w:jc w:val="both"/>
        <w:rPr/>
      </w:pPr>
      <w:r w:rsidDel="00000000" w:rsidR="00000000" w:rsidRPr="00000000">
        <w:rPr>
          <w:rtl w:val="0"/>
        </w:rPr>
        <w:t xml:space="preserve">Банківська гарантія надається в електронному форматі з накладенням електронно-цифрового підпису (далі - ЕЦП) відповідальної особи банку у форматі .pdf.</w:t>
      </w:r>
    </w:p>
    <w:p w:rsidR="00000000" w:rsidDel="00000000" w:rsidP="00000000" w:rsidRDefault="00000000" w:rsidRPr="00000000" w14:paraId="00000012">
      <w:pPr>
        <w:spacing w:after="0" w:before="0" w:lineRule="auto"/>
        <w:ind w:left="0" w:right="-20" w:firstLine="708.6614173228347"/>
        <w:jc w:val="both"/>
        <w:rPr/>
      </w:pPr>
      <w:r w:rsidDel="00000000" w:rsidR="00000000" w:rsidRPr="00000000">
        <w:rPr>
          <w:rtl w:val="0"/>
        </w:rPr>
        <w:t xml:space="preserve">Нерезиденти України забезпечення тендерної пропозиції можуть надавати у дол. США (сума застави перераховується за офіційним курсом гривні до дол. США, встановленим Національним банком України на дату внесення електронної банківської гарантії).</w:t>
      </w:r>
    </w:p>
    <w:p w:rsidR="00000000" w:rsidDel="00000000" w:rsidP="00000000" w:rsidRDefault="00000000" w:rsidRPr="00000000" w14:paraId="00000013">
      <w:pPr>
        <w:spacing w:after="0" w:before="0" w:lineRule="auto"/>
        <w:ind w:left="0" w:right="-20" w:firstLine="708.6614173228347"/>
        <w:jc w:val="both"/>
        <w:rPr/>
      </w:pPr>
      <w:r w:rsidDel="00000000" w:rsidR="00000000" w:rsidRPr="00000000">
        <w:rPr>
          <w:rtl w:val="0"/>
        </w:rPr>
        <w:t xml:space="preserve">Строк дії забезпечення тендерної пропозиції має відповідати строку дії тендерної пропозиції.</w:t>
      </w:r>
    </w:p>
    <w:p w:rsidR="00000000" w:rsidDel="00000000" w:rsidP="00000000" w:rsidRDefault="00000000" w:rsidRPr="00000000" w14:paraId="00000014">
      <w:pPr>
        <w:spacing w:after="0" w:before="0" w:lineRule="auto"/>
        <w:ind w:left="0" w:right="-20" w:firstLine="708.6614173228347"/>
        <w:jc w:val="both"/>
        <w:rPr/>
      </w:pPr>
      <w:r w:rsidDel="00000000" w:rsidR="00000000" w:rsidRPr="00000000">
        <w:rPr>
          <w:rtl w:val="0"/>
        </w:rPr>
        <w:t xml:space="preserve">Тендерні пропозиції, що не супроводжуються забезпеченням тендерних пропозицій, або надане учасником забезпечення тендерних пропозицій не відповідає вимогам тендерної документації, відхиляються Замовником.</w:t>
      </w:r>
    </w:p>
    <w:p w:rsidR="00000000" w:rsidDel="00000000" w:rsidP="00000000" w:rsidRDefault="00000000" w:rsidRPr="00000000" w14:paraId="00000015">
      <w:pPr>
        <w:spacing w:after="0" w:before="0" w:lineRule="auto"/>
        <w:ind w:left="0" w:right="-20" w:firstLine="708.6614173228347"/>
        <w:jc w:val="both"/>
        <w:rPr/>
      </w:pPr>
      <w:r w:rsidDel="00000000" w:rsidR="00000000" w:rsidRPr="00000000">
        <w:rPr>
          <w:rtl w:val="0"/>
        </w:rPr>
        <w:t xml:space="preserve">Усі витрати, пов’язані з наданням забезпечення тендерної пропозиції, здійснюються за рахунок коштів Учасника.</w:t>
      </w:r>
    </w:p>
    <w:p w:rsidR="00000000" w:rsidDel="00000000" w:rsidP="00000000" w:rsidRDefault="00000000" w:rsidRPr="00000000" w14:paraId="00000016">
      <w:pPr>
        <w:spacing w:after="0" w:before="0" w:lineRule="auto"/>
        <w:ind w:left="0" w:firstLine="708.6614173228347"/>
        <w:jc w:val="both"/>
        <w:rPr>
          <w:sz w:val="28"/>
          <w:szCs w:val="28"/>
        </w:rPr>
      </w:pPr>
      <w:r w:rsidDel="00000000" w:rsidR="00000000" w:rsidRPr="00000000">
        <w:rPr>
          <w:color w:val="121212"/>
          <w:rtl w:val="0"/>
        </w:rPr>
        <w:t xml:space="preserve">Реквізити: </w:t>
      </w:r>
      <w:r w:rsidDel="00000000" w:rsidR="00000000" w:rsidRPr="00000000">
        <w:rPr>
          <w:rtl w:val="0"/>
        </w:rPr>
        <w:t xml:space="preserve">Код ЄДРПОУ 30401456, ІПН № 304014526102, свідоцтво 200003880, п/р UA273204780000026005924425821 в ПАТ АБ «УКРГАЗБАНК» у м. Києві, МФО 320478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9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Закону.</w:t>
      </w:r>
    </w:p>
    <w:p w:rsidR="00000000" w:rsidDel="00000000" w:rsidP="00000000" w:rsidRDefault="00000000" w:rsidRPr="00000000" w14:paraId="00000019">
      <w:pPr>
        <w:ind w:firstLine="700"/>
        <w:rPr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00"/>
        <w:rPr/>
      </w:pPr>
      <w:bookmarkStart w:colFirst="0" w:colLast="0" w:name="_heading=h.cx4h9lxicvkn" w:id="2"/>
      <w:bookmarkEnd w:id="2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Уповноважена особа </w:t>
        <w:tab/>
        <w:tab/>
        <w:t xml:space="preserve">__________</w:t>
        <w:tab/>
        <w:tab/>
        <w:t xml:space="preserve">Роман ДЗЮБА</w:t>
      </w:r>
      <w:r w:rsidDel="00000000" w:rsidR="00000000" w:rsidRPr="00000000">
        <w:rPr>
          <w:rtl w:val="0"/>
        </w:rPr>
      </w:r>
    </w:p>
    <w:sectPr>
      <w:pgSz w:h="16840" w:w="11910" w:orient="portrait"/>
      <w:pgMar w:bottom="567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outlineLvl w:val="0"/>
    </w:pPr>
    <w:rPr>
      <w:sz w:val="36"/>
      <w:szCs w:val="36"/>
    </w:rPr>
  </w:style>
  <w:style w:type="paragraph" w:styleId="2">
    <w:name w:val="heading 2"/>
    <w:basedOn w:val="a"/>
    <w:next w:val="a"/>
    <w:pPr>
      <w:keepNext w:val="1"/>
      <w:spacing w:after="60" w:before="240"/>
      <w:outlineLvl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jc w:val="center"/>
    </w:pPr>
    <w:rPr>
      <w:b w:val="1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6">
    <w:name w:val="List Paragraph"/>
    <w:aliases w:val="----,Elenco Normale,Список уровня 2,Number Bullets,List Paragraph (numbered (a)),название табл/рис,Chapter10,EBRD List,заголовок 1.1,AC List 01"/>
    <w:basedOn w:val="a"/>
    <w:link w:val="a7"/>
    <w:uiPriority w:val="34"/>
    <w:qFormat w:val="1"/>
    <w:rsid w:val="00790A2F"/>
    <w:pPr>
      <w:ind w:left="720"/>
      <w:contextualSpacing w:val="1"/>
    </w:pPr>
    <w:rPr>
      <w:rFonts w:ascii="Calibri" w:hAnsi="Calibri"/>
      <w:lang w:eastAsia="en-US" w:val="en-US"/>
    </w:rPr>
  </w:style>
  <w:style w:type="paragraph" w:styleId="a8">
    <w:name w:val="No Spacing"/>
    <w:basedOn w:val="a"/>
    <w:uiPriority w:val="1"/>
    <w:qFormat w:val="1"/>
    <w:rsid w:val="00790A2F"/>
    <w:rPr>
      <w:rFonts w:ascii="Calibri" w:hAnsi="Calibri"/>
      <w:szCs w:val="32"/>
      <w:lang w:eastAsia="en-US" w:val="en-US"/>
    </w:rPr>
  </w:style>
  <w:style w:type="paragraph" w:styleId="Default" w:customStyle="1">
    <w:name w:val="Default"/>
    <w:rsid w:val="00790A2F"/>
    <w:pPr>
      <w:widowControl w:val="0"/>
      <w:autoSpaceDE w:val="0"/>
      <w:autoSpaceDN w:val="0"/>
      <w:adjustRightInd w:val="0"/>
      <w:spacing w:line="360" w:lineRule="atLeast"/>
      <w:jc w:val="both"/>
    </w:pPr>
    <w:rPr>
      <w:color w:val="000000"/>
      <w:szCs w:val="20"/>
      <w:lang w:val="ru-RU"/>
    </w:rPr>
  </w:style>
  <w:style w:type="character" w:styleId="a7" w:customStyle="1">
    <w:name w:val="Абзац списка Знак"/>
    <w:aliases w:val="---- Знак,Elenco Normale Знак,Список уровня 2 Знак,Number Bullets Знак,List Paragraph (numbered (a)) Знак,название табл/рис Знак,Chapter10 Знак,EBRD List Знак,заголовок 1.1 Знак,AC List 01 Знак"/>
    <w:link w:val="a6"/>
    <w:uiPriority w:val="34"/>
    <w:locked w:val="1"/>
    <w:rsid w:val="00790A2F"/>
    <w:rPr>
      <w:rFonts w:ascii="Calibri" w:hAnsi="Calibri"/>
      <w:lang w:eastAsia="en-US" w:val="en-US"/>
    </w:rPr>
  </w:style>
  <w:style w:type="character" w:styleId="xfm87384903" w:customStyle="1">
    <w:name w:val="xfm_87384903"/>
    <w:basedOn w:val="a0"/>
    <w:rsid w:val="00790A2F"/>
  </w:style>
  <w:style w:type="table" w:styleId="a9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/++o+CzoHjJebuR+ccKO9V03sA==">CgMxLjAyCGguZ2pkZ3hzMgloLjMwajB6bGwyDmguY3g0aDlseGljdmtuOAByITFubEptTlpkTUQwcndmWW5PeWM3OHlWNGNMWDRkRThWUw==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2024-01-26T10:09:00Z</dcterms:created>
  <dc:creator>Anton Y. Scherbak</dc:creator>
</cp:coreProperties>
</file>