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83" w:rsidRPr="00062283" w:rsidRDefault="00062283" w:rsidP="0006228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A636B"/>
          <w:sz w:val="26"/>
          <w:szCs w:val="26"/>
          <w:lang w:eastAsia="uk-UA"/>
        </w:rPr>
      </w:pPr>
      <w:r w:rsidRPr="00062283">
        <w:rPr>
          <w:rFonts w:ascii="Arial" w:eastAsia="Times New Roman" w:hAnsi="Arial" w:cs="Arial"/>
          <w:color w:val="5A636B"/>
          <w:sz w:val="20"/>
          <w:szCs w:val="20"/>
          <w:lang w:eastAsia="uk-UA"/>
        </w:rPr>
        <w:t xml:space="preserve">День оприлюднення на офіційному </w:t>
      </w:r>
      <w:proofErr w:type="spellStart"/>
      <w:r w:rsidRPr="00062283">
        <w:rPr>
          <w:rFonts w:ascii="Arial" w:eastAsia="Times New Roman" w:hAnsi="Arial" w:cs="Arial"/>
          <w:color w:val="5A636B"/>
          <w:sz w:val="20"/>
          <w:szCs w:val="20"/>
          <w:lang w:eastAsia="uk-UA"/>
        </w:rPr>
        <w:t>вебсайті</w:t>
      </w:r>
      <w:proofErr w:type="spellEnd"/>
      <w:r w:rsidRPr="00062283">
        <w:rPr>
          <w:rFonts w:ascii="Arial" w:eastAsia="Times New Roman" w:hAnsi="Arial" w:cs="Arial"/>
          <w:color w:val="5A636B"/>
          <w:sz w:val="20"/>
          <w:szCs w:val="20"/>
          <w:lang w:eastAsia="uk-UA"/>
        </w:rPr>
        <w:t xml:space="preserve"> АТ «ДТЕК Дніпровські електромережі»: 22.12.2022 р.</w:t>
      </w:r>
    </w:p>
    <w:p w:rsidR="00062283" w:rsidRPr="00062283" w:rsidRDefault="00062283" w:rsidP="00062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36B"/>
          <w:sz w:val="26"/>
          <w:szCs w:val="26"/>
          <w:lang w:eastAsia="uk-UA"/>
        </w:rPr>
      </w:pPr>
      <w:r w:rsidRPr="00062283">
        <w:rPr>
          <w:rFonts w:ascii="Arial" w:eastAsia="Times New Roman" w:hAnsi="Arial" w:cs="Arial"/>
          <w:color w:val="5A636B"/>
          <w:sz w:val="26"/>
          <w:szCs w:val="26"/>
          <w:lang w:eastAsia="uk-UA"/>
        </w:rPr>
        <w:t>АТ «ДТЕК Дніпровські електромережі» інформує про рівні тарифів на послуги з розподілу електричної енергії, що починають діяти </w:t>
      </w:r>
      <w:r w:rsidRPr="00062283">
        <w:rPr>
          <w:rFonts w:ascii="Arial" w:eastAsia="Times New Roman" w:hAnsi="Arial" w:cs="Arial"/>
          <w:b/>
          <w:bCs/>
          <w:color w:val="5A636B"/>
          <w:sz w:val="26"/>
          <w:szCs w:val="26"/>
          <w:lang w:eastAsia="uk-UA"/>
        </w:rPr>
        <w:t>з 01 січня 2023 року по 31 березня 2023 року (включно)</w:t>
      </w:r>
      <w:r w:rsidRPr="00062283">
        <w:rPr>
          <w:rFonts w:ascii="Arial" w:eastAsia="Times New Roman" w:hAnsi="Arial" w:cs="Arial"/>
          <w:color w:val="5A636B"/>
          <w:sz w:val="26"/>
          <w:szCs w:val="26"/>
          <w:lang w:eastAsia="uk-UA"/>
        </w:rPr>
        <w:t> </w:t>
      </w:r>
      <w:hyperlink r:id="rId4" w:history="1">
        <w:r w:rsidRPr="00062283">
          <w:rPr>
            <w:rFonts w:ascii="Arial" w:eastAsia="Times New Roman" w:hAnsi="Arial" w:cs="Arial"/>
            <w:color w:val="0068A6"/>
            <w:sz w:val="26"/>
            <w:szCs w:val="26"/>
            <w:lang w:eastAsia="uk-UA"/>
          </w:rPr>
          <w:t>відповідно до постанови НКРЕКП від 21.12.2022 р. № 1796</w:t>
        </w:r>
      </w:hyperlink>
      <w:r w:rsidRPr="00062283">
        <w:rPr>
          <w:rFonts w:ascii="Arial" w:eastAsia="Times New Roman" w:hAnsi="Arial" w:cs="Arial"/>
          <w:color w:val="5A636B"/>
          <w:sz w:val="26"/>
          <w:szCs w:val="26"/>
          <w:lang w:eastAsia="uk-UA"/>
        </w:rPr>
        <w:t> «Про встановлення тарифів на послуги з розподілу електричної енергії АТ „ДТЕК Дніпровські електромережі“ із застосуванням стимулюючого регулювання»: *</w:t>
      </w:r>
    </w:p>
    <w:tbl>
      <w:tblPr>
        <w:tblW w:w="5000" w:type="pct"/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6421"/>
        <w:gridCol w:w="4587"/>
        <w:gridCol w:w="4130"/>
      </w:tblGrid>
      <w:tr w:rsidR="00062283" w:rsidRPr="00062283" w:rsidTr="00062283">
        <w:trPr>
          <w:trHeight w:val="285"/>
        </w:trPr>
        <w:tc>
          <w:tcPr>
            <w:tcW w:w="2100" w:type="pct"/>
            <w:tcBorders>
              <w:bottom w:val="single" w:sz="6" w:space="0" w:color="F6D000"/>
              <w:right w:val="single" w:sz="6" w:space="0" w:color="F6D000"/>
            </w:tcBorders>
            <w:shd w:val="clear" w:color="auto" w:fill="FFE30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1018"/>
                <w:sz w:val="21"/>
                <w:szCs w:val="21"/>
                <w:lang w:eastAsia="uk-UA"/>
              </w:rPr>
            </w:pPr>
            <w:r w:rsidRPr="00062283">
              <w:rPr>
                <w:rFonts w:ascii="Arial" w:eastAsia="Times New Roman" w:hAnsi="Arial" w:cs="Arial"/>
                <w:b/>
                <w:bCs/>
                <w:color w:val="001018"/>
                <w:sz w:val="21"/>
                <w:szCs w:val="21"/>
                <w:lang w:eastAsia="uk-UA"/>
              </w:rPr>
              <w:t>Найменування</w:t>
            </w:r>
          </w:p>
        </w:tc>
        <w:tc>
          <w:tcPr>
            <w:tcW w:w="1500" w:type="pct"/>
            <w:tcBorders>
              <w:bottom w:val="single" w:sz="6" w:space="0" w:color="F6D000"/>
              <w:right w:val="single" w:sz="6" w:space="0" w:color="F6D000"/>
            </w:tcBorders>
            <w:shd w:val="clear" w:color="auto" w:fill="F6D00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1018"/>
                <w:sz w:val="21"/>
                <w:szCs w:val="21"/>
                <w:lang w:eastAsia="uk-UA"/>
              </w:rPr>
            </w:pPr>
            <w:r w:rsidRPr="00062283">
              <w:rPr>
                <w:rFonts w:ascii="Arial" w:eastAsia="Times New Roman" w:hAnsi="Arial" w:cs="Arial"/>
                <w:b/>
                <w:bCs/>
                <w:color w:val="001018"/>
                <w:sz w:val="21"/>
                <w:szCs w:val="21"/>
                <w:lang w:eastAsia="uk-UA"/>
              </w:rPr>
              <w:t>I клас напруги</w:t>
            </w:r>
          </w:p>
        </w:tc>
        <w:tc>
          <w:tcPr>
            <w:tcW w:w="1350" w:type="pct"/>
            <w:tcBorders>
              <w:bottom w:val="single" w:sz="6" w:space="0" w:color="F6D000"/>
            </w:tcBorders>
            <w:shd w:val="clear" w:color="auto" w:fill="FFE30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1018"/>
                <w:sz w:val="21"/>
                <w:szCs w:val="21"/>
                <w:lang w:eastAsia="uk-UA"/>
              </w:rPr>
            </w:pPr>
            <w:r w:rsidRPr="00062283">
              <w:rPr>
                <w:rFonts w:ascii="Arial" w:eastAsia="Times New Roman" w:hAnsi="Arial" w:cs="Arial"/>
                <w:b/>
                <w:bCs/>
                <w:color w:val="001018"/>
                <w:sz w:val="21"/>
                <w:szCs w:val="21"/>
                <w:lang w:eastAsia="uk-UA"/>
              </w:rPr>
              <w:t>II клас напруги</w:t>
            </w:r>
          </w:p>
        </w:tc>
      </w:tr>
      <w:tr w:rsidR="00062283" w:rsidRPr="00062283" w:rsidTr="00062283">
        <w:trPr>
          <w:trHeight w:val="285"/>
        </w:trPr>
        <w:tc>
          <w:tcPr>
            <w:tcW w:w="2100" w:type="pct"/>
            <w:tcBorders>
              <w:right w:val="dashed" w:sz="6" w:space="0" w:color="DBDBDB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Тариф на послуги з розподілу електричної енергії АТ «ДТЕК Дніпровські електромережі», грн/</w:t>
            </w:r>
            <w:proofErr w:type="spellStart"/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МВт</w:t>
            </w:r>
            <w:r w:rsidRPr="00062283">
              <w:rPr>
                <w:rFonts w:ascii="Cambria Math" w:eastAsia="Times New Roman" w:hAnsi="Cambria Math" w:cs="Cambria Math"/>
                <w:color w:val="5A636B"/>
                <w:sz w:val="26"/>
                <w:szCs w:val="26"/>
                <w:lang w:eastAsia="uk-UA"/>
              </w:rPr>
              <w:t>⋅</w:t>
            </w: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год</w:t>
            </w:r>
            <w:proofErr w:type="spellEnd"/>
          </w:p>
        </w:tc>
        <w:tc>
          <w:tcPr>
            <w:tcW w:w="1500" w:type="pct"/>
            <w:tcBorders>
              <w:right w:val="dashed" w:sz="6" w:space="0" w:color="DBDBDB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132,62</w:t>
            </w:r>
          </w:p>
        </w:tc>
        <w:tc>
          <w:tcPr>
            <w:tcW w:w="1350" w:type="pct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864,98</w:t>
            </w:r>
          </w:p>
        </w:tc>
      </w:tr>
      <w:tr w:rsidR="00062283" w:rsidRPr="00062283" w:rsidTr="00062283">
        <w:tc>
          <w:tcPr>
            <w:tcW w:w="2100" w:type="pct"/>
            <w:tcBorders>
              <w:right w:val="dashed" w:sz="6" w:space="0" w:color="DBDBD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Крім того, ПДВ</w:t>
            </w:r>
          </w:p>
        </w:tc>
        <w:tc>
          <w:tcPr>
            <w:tcW w:w="1500" w:type="pct"/>
            <w:tcBorders>
              <w:right w:val="dashed" w:sz="6" w:space="0" w:color="DBDBDB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26,52</w:t>
            </w:r>
          </w:p>
        </w:tc>
        <w:tc>
          <w:tcPr>
            <w:tcW w:w="1350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173,00</w:t>
            </w:r>
          </w:p>
        </w:tc>
      </w:tr>
      <w:tr w:rsidR="00062283" w:rsidRPr="00062283" w:rsidTr="00062283">
        <w:tc>
          <w:tcPr>
            <w:tcW w:w="2100" w:type="pct"/>
            <w:tcBorders>
              <w:right w:val="dashed" w:sz="6" w:space="0" w:color="DBDBDB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З ПДВ</w:t>
            </w:r>
          </w:p>
        </w:tc>
        <w:tc>
          <w:tcPr>
            <w:tcW w:w="1500" w:type="pct"/>
            <w:tcBorders>
              <w:right w:val="dashed" w:sz="6" w:space="0" w:color="DBDBDB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159,14</w:t>
            </w:r>
          </w:p>
        </w:tc>
        <w:tc>
          <w:tcPr>
            <w:tcW w:w="1350" w:type="pct"/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62283" w:rsidRPr="00062283" w:rsidRDefault="00062283" w:rsidP="000622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</w:pPr>
            <w:r w:rsidRPr="00062283">
              <w:rPr>
                <w:rFonts w:ascii="Arial" w:eastAsia="Times New Roman" w:hAnsi="Arial" w:cs="Arial"/>
                <w:color w:val="5A636B"/>
                <w:sz w:val="26"/>
                <w:szCs w:val="26"/>
                <w:lang w:eastAsia="uk-UA"/>
              </w:rPr>
              <w:t>1 037,98</w:t>
            </w:r>
          </w:p>
        </w:tc>
      </w:tr>
    </w:tbl>
    <w:p w:rsidR="00062283" w:rsidRPr="00062283" w:rsidRDefault="00062283" w:rsidP="00062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36B"/>
          <w:sz w:val="26"/>
          <w:szCs w:val="26"/>
          <w:lang w:eastAsia="uk-UA"/>
        </w:rPr>
      </w:pPr>
      <w:r w:rsidRPr="00062283">
        <w:rPr>
          <w:rFonts w:ascii="Arial" w:eastAsia="Times New Roman" w:hAnsi="Arial" w:cs="Arial"/>
          <w:i/>
          <w:iCs/>
          <w:color w:val="5A636B"/>
          <w:sz w:val="26"/>
          <w:szCs w:val="26"/>
          <w:lang w:eastAsia="uk-UA"/>
        </w:rPr>
        <w:t xml:space="preserve">* Ця постанова набирає чинності з 01 січня 2023 року та діє до 31 березня 2023 року, але не раніше дня, наступного за днем її офіційного оприлюднення на офіційному </w:t>
      </w:r>
      <w:proofErr w:type="spellStart"/>
      <w:r w:rsidRPr="00062283">
        <w:rPr>
          <w:rFonts w:ascii="Arial" w:eastAsia="Times New Roman" w:hAnsi="Arial" w:cs="Arial"/>
          <w:i/>
          <w:iCs/>
          <w:color w:val="5A636B"/>
          <w:sz w:val="26"/>
          <w:szCs w:val="26"/>
          <w:lang w:eastAsia="uk-UA"/>
        </w:rPr>
        <w:t>вебсайті</w:t>
      </w:r>
      <w:proofErr w:type="spellEnd"/>
      <w:r w:rsidRPr="00062283">
        <w:rPr>
          <w:rFonts w:ascii="Arial" w:eastAsia="Times New Roman" w:hAnsi="Arial" w:cs="Arial"/>
          <w:i/>
          <w:iCs/>
          <w:color w:val="5A636B"/>
          <w:sz w:val="26"/>
          <w:szCs w:val="26"/>
          <w:lang w:eastAsia="uk-UA"/>
        </w:rPr>
        <w:t xml:space="preserve"> Національної комісії, що здійснює державне регулювання у сферах енергетики та комунальних послуг. День оприлюднення постанови на офіційному </w:t>
      </w:r>
      <w:proofErr w:type="spellStart"/>
      <w:r w:rsidRPr="00062283">
        <w:rPr>
          <w:rFonts w:ascii="Arial" w:eastAsia="Times New Roman" w:hAnsi="Arial" w:cs="Arial"/>
          <w:i/>
          <w:iCs/>
          <w:color w:val="5A636B"/>
          <w:sz w:val="26"/>
          <w:szCs w:val="26"/>
          <w:lang w:eastAsia="uk-UA"/>
        </w:rPr>
        <w:t>вебсайті</w:t>
      </w:r>
      <w:proofErr w:type="spellEnd"/>
      <w:r w:rsidRPr="00062283">
        <w:rPr>
          <w:rFonts w:ascii="Arial" w:eastAsia="Times New Roman" w:hAnsi="Arial" w:cs="Arial"/>
          <w:i/>
          <w:iCs/>
          <w:color w:val="5A636B"/>
          <w:sz w:val="26"/>
          <w:szCs w:val="26"/>
          <w:lang w:eastAsia="uk-UA"/>
        </w:rPr>
        <w:t xml:space="preserve"> НКРЕКП 22.12.2022.</w:t>
      </w:r>
    </w:p>
    <w:p w:rsidR="006A44BD" w:rsidRDefault="006A44BD">
      <w:bookmarkStart w:id="0" w:name="_GoBack"/>
      <w:bookmarkEnd w:id="0"/>
    </w:p>
    <w:sectPr w:rsidR="006A44BD" w:rsidSect="0006228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83"/>
    <w:rsid w:val="00062283"/>
    <w:rsid w:val="006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AE75-44F8-42F2-B7D1-286F10F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rc.gov.ua/acts/pro-vstanovlennya-tarifiv-na-poslugi-z-rozpodilu-elektrichnoyi-energiyi-dtek-dniprovski-elektromerezhi-iz-zastosuvannyam-stimulyuyuchogo-regulyuvann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2023-02-10T10:07:00Z</dcterms:created>
  <dcterms:modified xsi:type="dcterms:W3CDTF">2023-02-10T10:07:00Z</dcterms:modified>
</cp:coreProperties>
</file>