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9C0AD1"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rsidR="009C0AD1" w:rsidRPr="009C0AD1"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до тендерної документації</w:t>
      </w:r>
    </w:p>
    <w:p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9C0AD1" w:rsidTr="00316E12">
        <w:tc>
          <w:tcPr>
            <w:tcW w:w="5250" w:type="dxa"/>
            <w:shd w:val="clear" w:color="auto" w:fill="auto"/>
            <w:vAlign w:val="center"/>
          </w:tcPr>
          <w:p w:rsidR="009C0AD1" w:rsidRPr="009C0AD1"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w:t>
            </w:r>
            <w:r w:rsidR="00365444" w:rsidRPr="00365444">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9C0AD1" w:rsidRDefault="009C0AD1" w:rsidP="00C0480D">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C0480D">
              <w:rPr>
                <w:rFonts w:ascii="Times New Roman" w:eastAsia="Times New Roman" w:hAnsi="Times New Roman" w:cs="Times New Roman"/>
                <w:b/>
                <w:sz w:val="24"/>
                <w:szCs w:val="24"/>
                <w:lang w:val="uk-UA" w:eastAsia="zh-CN"/>
              </w:rPr>
              <w:t>2</w:t>
            </w:r>
            <w:r w:rsidRPr="009C0AD1">
              <w:rPr>
                <w:rFonts w:ascii="Times New Roman" w:eastAsia="Times New Roman" w:hAnsi="Times New Roman" w:cs="Times New Roman"/>
                <w:b/>
                <w:sz w:val="24"/>
                <w:szCs w:val="24"/>
                <w:lang w:val="uk-UA" w:eastAsia="zh-CN"/>
              </w:rPr>
              <w:t xml:space="preserve"> року</w:t>
            </w:r>
          </w:p>
        </w:tc>
      </w:tr>
      <w:tr w:rsidR="009C0AD1" w:rsidRPr="009C0AD1" w:rsidTr="00316E12">
        <w:tblPrEx>
          <w:tblCellMar>
            <w:top w:w="15" w:type="dxa"/>
            <w:left w:w="15" w:type="dxa"/>
            <w:bottom w:w="15" w:type="dxa"/>
            <w:right w:w="15" w:type="dxa"/>
          </w:tblCellMar>
        </w:tblPrEx>
        <w:tc>
          <w:tcPr>
            <w:tcW w:w="10490" w:type="dxa"/>
            <w:gridSpan w:val="2"/>
            <w:shd w:val="clear" w:color="auto" w:fill="auto"/>
            <w:vAlign w:val="center"/>
          </w:tcPr>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9C0AD1" w:rsidRDefault="00365444"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val="uk-UA" w:eastAsia="zh-CN"/>
              </w:rPr>
              <w:t>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046EC6">
              <w:rPr>
                <w:rFonts w:ascii="Times New Roman" w:eastAsia="Times New Roman" w:hAnsi="Times New Roman" w:cs="Times New Roman"/>
                <w:bCs/>
                <w:sz w:val="24"/>
                <w:szCs w:val="24"/>
                <w:lang w:val="uk-UA" w:eastAsia="zh-CN"/>
              </w:rPr>
              <w:t xml:space="preserve"> </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rsidR="009C0AD1" w:rsidRPr="00E16B1F"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9C0AD1">
        <w:rPr>
          <w:rFonts w:ascii="Times New Roman" w:eastAsia="Times New Roman" w:hAnsi="Times New Roman" w:cs="Times New Roman"/>
          <w:sz w:val="24"/>
          <w:szCs w:val="24"/>
          <w:lang w:val="uk-UA" w:eastAsia="ar-SA"/>
        </w:rPr>
        <w:t xml:space="preserve">1.1. </w:t>
      </w:r>
      <w:r w:rsidR="00FB606E">
        <w:rPr>
          <w:rFonts w:ascii="Times New Roman" w:eastAsia="Times New Roman" w:hAnsi="Times New Roman" w:cs="Times New Roman"/>
          <w:sz w:val="24"/>
          <w:szCs w:val="24"/>
          <w:lang w:val="uk-UA" w:eastAsia="ar-SA"/>
        </w:rPr>
        <w:t>Постачальник зобов'язується у 202</w:t>
      </w:r>
      <w:r w:rsidR="00C0480D">
        <w:rPr>
          <w:rFonts w:ascii="Times New Roman" w:eastAsia="Times New Roman" w:hAnsi="Times New Roman" w:cs="Times New Roman"/>
          <w:sz w:val="24"/>
          <w:szCs w:val="24"/>
          <w:lang w:val="uk-UA" w:eastAsia="ar-SA"/>
        </w:rPr>
        <w:t>2</w:t>
      </w:r>
      <w:r w:rsidR="00FB606E">
        <w:rPr>
          <w:rFonts w:ascii="Times New Roman" w:eastAsia="Times New Roman" w:hAnsi="Times New Roman" w:cs="Times New Roman"/>
          <w:sz w:val="24"/>
          <w:szCs w:val="24"/>
          <w:lang w:val="uk-UA" w:eastAsia="ar-SA"/>
        </w:rPr>
        <w:t xml:space="preserve"> році поставити Замовнику товари</w:t>
      </w:r>
      <w:r w:rsidRPr="009C0AD1">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C445E9" w:rsidRPr="00C445E9">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(Diphenhydramine, Pitofenone and analgesics, Ketorolac, Vitamin B1 in combination with vitamin B6 and/or vitamin B12, Prednisolone, Ipidacrine, Paracetamol, Urapidil, Myramistin*, Comb drug, Nikethamide, Nicotinic acid, Cyclopentolate, Lysine, Dexketoprofen, Pregabalin, Meloxicam, Aztreonam, Aciclovir, Choline alfoscerate, Cyanocobalamin, Ornithine*, Thioctic acid, Barium sulfate without suspending agents, Potassium chloride, Theophylline)»</w:t>
      </w:r>
    </w:p>
    <w:p w:rsidR="009C0AD1" w:rsidRPr="009C0AD1"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Pr>
          <w:rFonts w:ascii="Times New Roman" w:eastAsia="Times New Roman" w:hAnsi="Times New Roman" w:cs="Times New Roman"/>
          <w:sz w:val="24"/>
          <w:szCs w:val="24"/>
          <w:lang w:val="uk-UA" w:eastAsia="ar-SA"/>
        </w:rPr>
        <w:t xml:space="preserve"> </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3F7FC9" w:rsidRDefault="009C0AD1" w:rsidP="00DE3FE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t xml:space="preserve">3.4. </w:t>
      </w:r>
      <w:r w:rsidR="00DE3FE9" w:rsidRPr="003F7FC9">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пропозиції конкурсних торгів  </w:t>
      </w:r>
      <w:r w:rsidR="00DE3FE9" w:rsidRPr="003F7FC9">
        <w:rPr>
          <w:rFonts w:ascii="Times New Roman" w:eastAsia="Times New Roman" w:hAnsi="Times New Roman" w:cs="Times New Roman"/>
          <w:sz w:val="24"/>
          <w:szCs w:val="24"/>
          <w:lang w:val="uk-UA" w:eastAsia="ar-SA"/>
        </w:rPr>
        <w:lastRenderedPageBreak/>
        <w:t>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sidR="00DE3FE9">
        <w:rPr>
          <w:rFonts w:ascii="Times New Roman" w:eastAsia="Times New Roman" w:hAnsi="Times New Roman" w:cs="Times New Roman"/>
          <w:sz w:val="24"/>
          <w:szCs w:val="24"/>
          <w:lang w:val="uk-UA" w:eastAsia="ar-SA"/>
        </w:rPr>
        <w:t>41</w:t>
      </w:r>
      <w:r w:rsidR="00DE3FE9"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2) </w:t>
      </w:r>
      <w:r w:rsidR="00365444" w:rsidRPr="00365444">
        <w:rPr>
          <w:rFonts w:ascii="Times New Roman" w:eastAsia="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445E9" w:rsidRPr="00C445E9" w:rsidRDefault="00C445E9" w:rsidP="00C445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C445E9">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445E9" w:rsidRPr="00C445E9" w:rsidRDefault="00C445E9" w:rsidP="00C445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C445E9">
        <w:rPr>
          <w:rFonts w:ascii="Times New Roman" w:eastAsia="Times New Roman" w:hAnsi="Times New Roman" w:cs="Times New Roman"/>
          <w:sz w:val="24"/>
          <w:szCs w:val="24"/>
          <w:lang w:val="uk-UA"/>
        </w:rPr>
        <w:t xml:space="preserve">        У разі зміни офіційного курсу ЄВРО або долара США, встановленого Національним банком України (НБУ), більш ніж на 2 % щодо такого курсу на момент проведення електронного аукціону, вартість не оплаченого раніше Товару згідно Договору може бути змінена на величину, пропорційну зміні такого курсу.</w:t>
      </w:r>
    </w:p>
    <w:p w:rsidR="00C445E9" w:rsidRPr="00C445E9" w:rsidRDefault="00C445E9" w:rsidP="00C445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C445E9">
        <w:rPr>
          <w:rFonts w:ascii="Times New Roman" w:eastAsia="Times New Roman" w:hAnsi="Times New Roman" w:cs="Times New Roman"/>
          <w:sz w:val="24"/>
          <w:szCs w:val="24"/>
          <w:lang w:val="uk-UA"/>
        </w:rPr>
        <w:t xml:space="preserve">Розрахунок проводиться за наступною формулою: </w:t>
      </w:r>
    </w:p>
    <w:p w:rsidR="00C445E9" w:rsidRPr="00C445E9" w:rsidRDefault="00C445E9" w:rsidP="00C445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C445E9">
        <w:rPr>
          <w:rFonts w:ascii="Times New Roman" w:eastAsia="Times New Roman" w:hAnsi="Times New Roman" w:cs="Times New Roman"/>
          <w:sz w:val="24"/>
          <w:szCs w:val="24"/>
          <w:lang w:val="uk-UA"/>
        </w:rPr>
        <w:t>Нова ціна Товару = Стара ціна Товару х (Поточний курс євро або долара США /Курс ЄВРО або долара США на день проведення електронного аукціону).</w:t>
      </w:r>
    </w:p>
    <w:p w:rsidR="00C445E9" w:rsidRPr="00C445E9" w:rsidRDefault="00C445E9" w:rsidP="00C445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C445E9">
        <w:rPr>
          <w:rFonts w:ascii="Times New Roman" w:eastAsia="Times New Roman" w:hAnsi="Times New Roman" w:cs="Times New Roman"/>
          <w:sz w:val="24"/>
          <w:szCs w:val="24"/>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C445E9" w:rsidRPr="00C445E9" w:rsidRDefault="00C445E9" w:rsidP="00C445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C445E9">
        <w:rPr>
          <w:rFonts w:ascii="Times New Roman" w:eastAsia="Times New Roman" w:hAnsi="Times New Roman" w:cs="Times New Roman"/>
          <w:sz w:val="24"/>
          <w:szCs w:val="24"/>
          <w:lang w:val="uk-UA"/>
        </w:rPr>
        <w:t>Курс євро на момент проведення електронного аукціону (______________ 201___ року) становить _________________ грн. за один ЄВРО.</w:t>
      </w:r>
    </w:p>
    <w:p w:rsidR="00C445E9" w:rsidRDefault="00C445E9" w:rsidP="00C445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C445E9">
        <w:rPr>
          <w:rFonts w:ascii="Times New Roman" w:eastAsia="Times New Roman" w:hAnsi="Times New Roman" w:cs="Times New Roman"/>
          <w:sz w:val="24"/>
          <w:szCs w:val="24"/>
          <w:lang w:val="uk-UA"/>
        </w:rPr>
        <w:t>Курс долара США на момент проведення електронного аукціону (______________ 201___ року) становить _________________ грн. за один долар США.;</w:t>
      </w:r>
    </w:p>
    <w:p w:rsidR="009C0AD1" w:rsidRPr="009C0AD1" w:rsidRDefault="00DE3FE9" w:rsidP="0036544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3F7FC9">
        <w:rPr>
          <w:rFonts w:ascii="Times New Roman" w:eastAsia="Times New Roman" w:hAnsi="Times New Roman" w:cs="Times New Roman"/>
          <w:sz w:val="24"/>
          <w:szCs w:val="24"/>
          <w:lang w:val="uk-UA"/>
        </w:rPr>
        <w:t xml:space="preserve">8) </w:t>
      </w:r>
      <w:r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Pr>
          <w:rFonts w:ascii="Times New Roman" w:eastAsia="Times New Roman" w:hAnsi="Times New Roman" w:cs="Times New Roman"/>
          <w:sz w:val="24"/>
          <w:szCs w:val="24"/>
          <w:lang w:val="uk-UA" w:eastAsia="ar-SA"/>
        </w:rPr>
        <w:t>д</w:t>
      </w:r>
      <w:r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3.5.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9C0AD1">
        <w:rPr>
          <w:rFonts w:ascii="Times New Roman" w:eastAsia="Calibri" w:hAnsi="Times New Roman" w:cs="Times New Roman"/>
          <w:b/>
          <w:sz w:val="24"/>
          <w:szCs w:val="24"/>
          <w:lang w:val="uk-UA" w:eastAsia="ar-SA"/>
        </w:rPr>
        <w:t>ч.</w:t>
      </w:r>
      <w:r w:rsidR="00DE3FE9">
        <w:rPr>
          <w:rFonts w:ascii="Times New Roman" w:eastAsia="Calibri" w:hAnsi="Times New Roman" w:cs="Times New Roman"/>
          <w:b/>
          <w:sz w:val="24"/>
          <w:szCs w:val="24"/>
          <w:lang w:val="uk-UA" w:eastAsia="ar-SA"/>
        </w:rPr>
        <w:t>5</w:t>
      </w:r>
      <w:r w:rsidRPr="009C0AD1">
        <w:rPr>
          <w:rFonts w:ascii="Times New Roman" w:eastAsia="Calibri" w:hAnsi="Times New Roman" w:cs="Times New Roman"/>
          <w:b/>
          <w:sz w:val="24"/>
          <w:szCs w:val="24"/>
          <w:lang w:val="uk-UA" w:eastAsia="ar-SA"/>
        </w:rPr>
        <w:t>, 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9C0AD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9C0AD1">
        <w:rPr>
          <w:rFonts w:ascii="Times New Roman" w:eastAsia="Times New Roman" w:hAnsi="Times New Roman" w:cs="Times New Roman"/>
          <w:sz w:val="24"/>
          <w:szCs w:val="24"/>
          <w:lang w:val="uk-UA" w:eastAsia="ar-SA"/>
        </w:rPr>
        <w:t xml:space="preserve">,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w:t>
      </w:r>
      <w:r w:rsidRPr="009C0AD1">
        <w:rPr>
          <w:rFonts w:ascii="Times New Roman" w:eastAsia="Times New Roman" w:hAnsi="Times New Roman" w:cs="Times New Roman"/>
          <w:sz w:val="24"/>
          <w:szCs w:val="24"/>
          <w:lang w:val="uk-UA" w:eastAsia="ar-SA"/>
        </w:rPr>
        <w:lastRenderedPageBreak/>
        <w:t>одиницю продукції» із змінами.</w:t>
      </w:r>
    </w:p>
    <w:p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5.1. Строк поставки  товару - до 31 грудня 202</w:t>
      </w:r>
      <w:r w:rsidR="00C0480D">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 </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9C0AD1" w:rsidRPr="009C0AD1"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365444">
        <w:rPr>
          <w:rFonts w:ascii="Times New Roman" w:eastAsia="Times New Roman" w:hAnsi="Times New Roman" w:cs="Times New Roman"/>
          <w:sz w:val="24"/>
          <w:szCs w:val="24"/>
          <w:lang w:val="uk-UA" w:eastAsia="ar-SA"/>
        </w:rPr>
        <w:t xml:space="preserve"> </w:t>
      </w:r>
      <w:r w:rsidR="00C0480D" w:rsidRPr="00C0480D">
        <w:rPr>
          <w:rFonts w:ascii="Times New Roman" w:eastAsia="Times New Roman" w:hAnsi="Times New Roman" w:cs="Times New Roman"/>
          <w:sz w:val="24"/>
          <w:szCs w:val="24"/>
          <w:lang w:val="uk-UA" w:eastAsia="ar-SA"/>
        </w:rPr>
        <w:t>(за адресою замовника) 29000, Хмельни</w:t>
      </w:r>
      <w:r w:rsidR="00C0480D">
        <w:rPr>
          <w:rFonts w:ascii="Times New Roman" w:eastAsia="Times New Roman" w:hAnsi="Times New Roman" w:cs="Times New Roman"/>
          <w:sz w:val="24"/>
          <w:szCs w:val="24"/>
          <w:lang w:val="uk-UA" w:eastAsia="ar-SA"/>
        </w:rPr>
        <w:t xml:space="preserve">цька обл., місто Хмельницький, </w:t>
      </w:r>
      <w:r w:rsidR="00C0480D" w:rsidRPr="00C0480D">
        <w:rPr>
          <w:rFonts w:ascii="Times New Roman" w:eastAsia="Times New Roman" w:hAnsi="Times New Roman" w:cs="Times New Roman"/>
          <w:sz w:val="24"/>
          <w:szCs w:val="24"/>
          <w:lang w:val="uk-UA" w:eastAsia="ar-SA"/>
        </w:rPr>
        <w:t>вул. Пілотська, будинок 1</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6.4. Постачальник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C0480D">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lastRenderedPageBreak/>
        <w:t>ХІ. ІНШІ УМОВИ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Pr>
          <w:rFonts w:ascii="Times New Roman" w:eastAsia="Times New Roman" w:hAnsi="Times New Roman" w:cs="Times New Roman"/>
          <w:kern w:val="3"/>
          <w:sz w:val="24"/>
          <w:szCs w:val="24"/>
          <w:lang w:val="uk-UA" w:eastAsia="ar-SA"/>
        </w:rPr>
        <w:t>41</w:t>
      </w:r>
      <w:r w:rsidRPr="009C0AD1">
        <w:rPr>
          <w:rFonts w:ascii="Times New Roman" w:eastAsia="Times New Roman" w:hAnsi="Times New Roman" w:cs="Times New Roman"/>
          <w:kern w:val="3"/>
          <w:sz w:val="24"/>
          <w:szCs w:val="24"/>
          <w:lang w:val="uk-UA" w:eastAsia="ar-SA"/>
        </w:rPr>
        <w:t xml:space="preserve"> Закону України «Про публічні закупівлі» №922 – VIII </w:t>
      </w:r>
      <w:r w:rsidR="00DE3FE9">
        <w:rPr>
          <w:rFonts w:ascii="Times New Roman" w:eastAsia="Times New Roman" w:hAnsi="Times New Roman" w:cs="Times New Roman"/>
          <w:kern w:val="3"/>
          <w:sz w:val="24"/>
          <w:szCs w:val="24"/>
          <w:lang w:val="uk-UA" w:eastAsia="ar-SA"/>
        </w:rPr>
        <w:t xml:space="preserve">в редакції від </w:t>
      </w:r>
      <w:r w:rsidR="00DE3FE9" w:rsidRPr="00DE3FE9">
        <w:rPr>
          <w:rFonts w:ascii="Times New Roman" w:eastAsia="Times New Roman" w:hAnsi="Times New Roman" w:cs="Times New Roman"/>
          <w:kern w:val="3"/>
          <w:sz w:val="24"/>
          <w:szCs w:val="24"/>
          <w:lang w:val="uk-UA" w:eastAsia="ar-SA"/>
        </w:rPr>
        <w:t>19.04.2020</w:t>
      </w:r>
      <w:r w:rsidR="00DE3FE9">
        <w:rPr>
          <w:rFonts w:ascii="Times New Roman" w:eastAsia="Times New Roman" w:hAnsi="Times New Roman" w:cs="Times New Roman"/>
          <w:kern w:val="3"/>
          <w:sz w:val="24"/>
          <w:szCs w:val="24"/>
          <w:lang w:val="uk-UA" w:eastAsia="ar-SA"/>
        </w:rPr>
        <w:t xml:space="preserve"> року</w:t>
      </w:r>
      <w:r w:rsidRPr="009C0AD1">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11.5.Згідно</w:t>
      </w:r>
      <w:r w:rsidRPr="009C0AD1">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DE3FE9">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1B2713" w:rsidRPr="009C0AD1" w:rsidTr="007807CD">
        <w:trPr>
          <w:trHeight w:val="3894"/>
        </w:trPr>
        <w:tc>
          <w:tcPr>
            <w:tcW w:w="5003" w:type="dxa"/>
            <w:shd w:val="clear" w:color="auto" w:fill="auto"/>
          </w:tcPr>
          <w:p w:rsidR="001B2713"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EB4EB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EB4EB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C0480D">
        <w:rPr>
          <w:rFonts w:ascii="Times New Roman CYR" w:eastAsia="Times New Roman" w:hAnsi="Times New Roman CYR" w:cs="Times New Roman CYR"/>
          <w:b/>
          <w:sz w:val="24"/>
          <w:szCs w:val="24"/>
          <w:lang w:val="uk-UA" w:eastAsia="ar-SA"/>
        </w:rPr>
        <w:t>2</w:t>
      </w:r>
      <w:r w:rsidRPr="009C0AD1">
        <w:rPr>
          <w:rFonts w:ascii="Times New Roman CYR" w:eastAsia="Times New Roman" w:hAnsi="Times New Roman CYR" w:cs="Times New Roman CYR"/>
          <w:b/>
          <w:sz w:val="24"/>
          <w:szCs w:val="24"/>
          <w:lang w:val="uk-UA" w:eastAsia="ar-SA"/>
        </w:rPr>
        <w:t xml:space="preserve"> року</w:t>
      </w:r>
    </w:p>
    <w:p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rsidR="00E16B1F"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9C0AD1">
        <w:rPr>
          <w:rFonts w:ascii="Times New Roman CYR" w:eastAsia="Times New Roman" w:hAnsi="Times New Roman CYR" w:cs="Times New Roman CYR"/>
          <w:b/>
          <w:sz w:val="24"/>
          <w:szCs w:val="24"/>
          <w:lang w:val="uk-UA" w:eastAsia="ar-SA"/>
        </w:rPr>
        <w:t xml:space="preserve">на закупівлю: </w:t>
      </w:r>
      <w:r w:rsidR="00C445E9" w:rsidRPr="00C445E9">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(Diphenhydramine, Pitofenone and analgesics, Ketorolac, Vitamin B1 in combination with vitamin B6 and/or vitamin B12, Prednisolone, Ipidacrine, Paracetamol, Urapidil, Myramistin*, Comb drug, Nikethamide, Nicotinic acid, Cyclopentolate, Lysine, Dexketoprofen, Pregabalin, Meloxicam, Aztreonam, Aciclovir, Choline alfoscerate, Cyanocobalamin, Ornithine*, Thioctic acid, Barium sulfate without suspending agents, Potassium chloride, Theophylline)»</w:t>
      </w:r>
      <w:bookmarkStart w:id="0" w:name="_GoBack"/>
      <w:bookmarkEnd w:id="0"/>
    </w:p>
    <w:tbl>
      <w:tblPr>
        <w:tblW w:w="15491" w:type="dxa"/>
        <w:tblInd w:w="5" w:type="dxa"/>
        <w:tblLayout w:type="fixed"/>
        <w:tblCellMar>
          <w:left w:w="0" w:type="dxa"/>
          <w:right w:w="0" w:type="dxa"/>
        </w:tblCellMar>
        <w:tblLook w:val="0000" w:firstRow="0" w:lastRow="0" w:firstColumn="0" w:lastColumn="0" w:noHBand="0" w:noVBand="0"/>
      </w:tblPr>
      <w:tblGrid>
        <w:gridCol w:w="506"/>
        <w:gridCol w:w="2471"/>
        <w:gridCol w:w="96"/>
        <w:gridCol w:w="1747"/>
        <w:gridCol w:w="2551"/>
        <w:gridCol w:w="705"/>
        <w:gridCol w:w="429"/>
        <w:gridCol w:w="1134"/>
        <w:gridCol w:w="1579"/>
        <w:gridCol w:w="1115"/>
        <w:gridCol w:w="762"/>
        <w:gridCol w:w="817"/>
        <w:gridCol w:w="1579"/>
      </w:tblGrid>
      <w:tr w:rsidR="00C0480D" w:rsidRPr="00CD26BD" w:rsidTr="00C0480D">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2471"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Країна походження</w:t>
            </w:r>
          </w:p>
        </w:tc>
        <w:tc>
          <w:tcPr>
            <w:tcW w:w="2551"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gridSpan w:val="2"/>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C0480D" w:rsidRPr="00CD26BD" w:rsidTr="00C048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2471"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2471" w:type="dxa"/>
            <w:tcBorders>
              <w:top w:val="single" w:sz="4" w:space="0" w:color="000000"/>
              <w:left w:val="single" w:sz="4" w:space="0" w:color="000000"/>
              <w:bottom w:val="single" w:sz="4" w:space="0" w:color="000000"/>
            </w:tcBorders>
            <w:shd w:val="clear" w:color="auto" w:fill="auto"/>
            <w:vAlign w:val="center"/>
          </w:tcPr>
          <w:p w:rsidR="00C0480D" w:rsidRPr="00E91033" w:rsidRDefault="00C0480D" w:rsidP="00C6069D">
            <w:pPr>
              <w:widowControl w:val="0"/>
              <w:suppressAutoHyphens/>
              <w:autoSpaceDE w:val="0"/>
              <w:snapToGrid w:val="0"/>
              <w:spacing w:after="0" w:line="240" w:lineRule="auto"/>
              <w:jc w:val="center"/>
              <w:rPr>
                <w:rFonts w:ascii="Times New Roman" w:hAnsi="Times New Roman"/>
                <w:b/>
                <w:bCs/>
                <w:lang w:val="uk-UA"/>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365444" w:rsidRPr="009C0AD1" w:rsidTr="00C0480D">
        <w:tblPrEx>
          <w:jc w:val="center"/>
          <w:tblCellMar>
            <w:left w:w="108" w:type="dxa"/>
            <w:right w:w="108" w:type="dxa"/>
          </w:tblCellMar>
        </w:tblPrEx>
        <w:trPr>
          <w:gridBefore w:val="3"/>
          <w:gridAfter w:val="2"/>
          <w:wBefore w:w="3073" w:type="dxa"/>
          <w:wAfter w:w="2396" w:type="dxa"/>
          <w:trHeight w:val="3894"/>
          <w:jc w:val="center"/>
        </w:trPr>
        <w:tc>
          <w:tcPr>
            <w:tcW w:w="5003" w:type="dxa"/>
            <w:gridSpan w:val="3"/>
            <w:shd w:val="clear" w:color="auto" w:fill="auto"/>
          </w:tcPr>
          <w:p w:rsidR="00C0480D" w:rsidRDefault="00C0480D" w:rsidP="00625EB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365444" w:rsidRPr="00EB4EB1" w:rsidRDefault="00365444" w:rsidP="00625EB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EB4EB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rsidR="00C0480D" w:rsidRPr="009C0AD1" w:rsidRDefault="00C0480D"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Pr="00EB4EB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961E1"/>
    <w:rsid w:val="000141D2"/>
    <w:rsid w:val="00046EC6"/>
    <w:rsid w:val="000E4186"/>
    <w:rsid w:val="000F3CAB"/>
    <w:rsid w:val="00142DED"/>
    <w:rsid w:val="001B2713"/>
    <w:rsid w:val="00206755"/>
    <w:rsid w:val="0021043B"/>
    <w:rsid w:val="00290E04"/>
    <w:rsid w:val="002C0D9E"/>
    <w:rsid w:val="003306C6"/>
    <w:rsid w:val="00365444"/>
    <w:rsid w:val="00377710"/>
    <w:rsid w:val="003F0AC6"/>
    <w:rsid w:val="004029C5"/>
    <w:rsid w:val="004126D7"/>
    <w:rsid w:val="00436C3B"/>
    <w:rsid w:val="00493E04"/>
    <w:rsid w:val="00505C8C"/>
    <w:rsid w:val="005A24FD"/>
    <w:rsid w:val="00607EF0"/>
    <w:rsid w:val="00691EA1"/>
    <w:rsid w:val="006961E1"/>
    <w:rsid w:val="006A34A3"/>
    <w:rsid w:val="006D714B"/>
    <w:rsid w:val="00722087"/>
    <w:rsid w:val="007623D9"/>
    <w:rsid w:val="007B5D47"/>
    <w:rsid w:val="007E53CF"/>
    <w:rsid w:val="007F24E4"/>
    <w:rsid w:val="00805647"/>
    <w:rsid w:val="00852372"/>
    <w:rsid w:val="009A22E7"/>
    <w:rsid w:val="009B0315"/>
    <w:rsid w:val="009C0AD1"/>
    <w:rsid w:val="009D5244"/>
    <w:rsid w:val="00A311D8"/>
    <w:rsid w:val="00A34106"/>
    <w:rsid w:val="00A85CCB"/>
    <w:rsid w:val="00AB323E"/>
    <w:rsid w:val="00AD639A"/>
    <w:rsid w:val="00AE0417"/>
    <w:rsid w:val="00B50037"/>
    <w:rsid w:val="00BC4F77"/>
    <w:rsid w:val="00BD291F"/>
    <w:rsid w:val="00C0480D"/>
    <w:rsid w:val="00C141FE"/>
    <w:rsid w:val="00C173C2"/>
    <w:rsid w:val="00C262FF"/>
    <w:rsid w:val="00C445E9"/>
    <w:rsid w:val="00C76FDE"/>
    <w:rsid w:val="00C87951"/>
    <w:rsid w:val="00D528DC"/>
    <w:rsid w:val="00DC1646"/>
    <w:rsid w:val="00DE3FE9"/>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6D06-9476-47D5-B17B-F049166F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47</cp:revision>
  <dcterms:created xsi:type="dcterms:W3CDTF">2020-02-13T13:17:00Z</dcterms:created>
  <dcterms:modified xsi:type="dcterms:W3CDTF">2022-08-09T10:29:00Z</dcterms:modified>
</cp:coreProperties>
</file>