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F" w:rsidRPr="004E42CF" w:rsidRDefault="004E42CF" w:rsidP="00141D7A">
      <w:pPr>
        <w:pageBreakBefore/>
        <w:ind w:left="7513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t>Додаток 3</w:t>
      </w: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4E42CF" w:rsidRPr="004E42CF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36DB" w:rsidRPr="001E0A0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1E0A0D">
        <w:rPr>
          <w:rFonts w:ascii="Times New Roman" w:eastAsia="Times New Roman" w:hAnsi="Times New Roman" w:cs="Times New Roman"/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0436DB" w:rsidRPr="001E0A0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36DB" w:rsidRPr="001E0A0D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36DB" w:rsidRPr="001E0A0D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0436DB" w:rsidRPr="001E0A0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E0A0D">
        <w:rPr>
          <w:rFonts w:ascii="Times New Roman" w:eastAsia="Times New Roman" w:hAnsi="Times New Roman" w:cs="Times New Roman"/>
          <w:b/>
          <w:lang w:val="uk-UA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4E42CF" w:rsidRPr="001E0A0D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2CF" w:rsidRP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1. Кваліфікаційні вимоги до Учасників процедури закупівлі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314"/>
      </w:tblGrid>
      <w:tr w:rsidR="007076BC" w:rsidRPr="007C196F" w:rsidTr="007076BC">
        <w:tc>
          <w:tcPr>
            <w:tcW w:w="518" w:type="dxa"/>
          </w:tcPr>
          <w:p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</w:t>
            </w:r>
            <w:proofErr w:type="gram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1" w:type="dxa"/>
          </w:tcPr>
          <w:p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Кваліфікаційний критерій</w:t>
            </w:r>
          </w:p>
          <w:p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4" w:type="dxa"/>
          </w:tcPr>
          <w:p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Документально </w:t>
            </w:r>
            <w:proofErr w:type="gram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ідтверджена інформація про відповідність Учасників кваліфікаційним критеріям</w:t>
            </w:r>
          </w:p>
        </w:tc>
      </w:tr>
      <w:tr w:rsidR="007076BC" w:rsidRPr="007C196F" w:rsidTr="007076BC">
        <w:tc>
          <w:tcPr>
            <w:tcW w:w="518" w:type="dxa"/>
          </w:tcPr>
          <w:p w:rsidR="007076BC" w:rsidRPr="007C196F" w:rsidRDefault="00C42488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076BC"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ідтвердженого досвіду виконання аналогічного договору </w:t>
            </w:r>
          </w:p>
        </w:tc>
        <w:tc>
          <w:tcPr>
            <w:tcW w:w="7314" w:type="dxa"/>
          </w:tcPr>
          <w:p w:rsidR="007076BC" w:rsidRDefault="007076BC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Інформаційна довідка, яка </w:t>
            </w:r>
            <w:proofErr w:type="gram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містить</w:t>
            </w:r>
            <w:proofErr w:type="gram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відомості про виконання аналогічних договорів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період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менше </w:t>
            </w:r>
            <w:r w:rsid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одного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 постачання </w:t>
            </w:r>
            <w:r w:rsidR="00636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аналогічних продуктів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(надати список замовників, їх адреси, контактні телефони). </w:t>
            </w:r>
          </w:p>
          <w:p w:rsidR="0063611E" w:rsidRPr="0063611E" w:rsidRDefault="0063611E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3611E" w:rsidRDefault="007076BC" w:rsidP="00210B0D">
            <w:pPr>
              <w:pStyle w:val="1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A6F">
              <w:rPr>
                <w:rFonts w:ascii="Times New Roman" w:hAnsi="Times New Roman"/>
                <w:color w:val="000000" w:themeColor="text1"/>
              </w:rPr>
              <w:t>Аналогічним є догові</w:t>
            </w:r>
            <w:proofErr w:type="gramStart"/>
            <w:r w:rsidRPr="007A2A6F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7A2A6F">
              <w:rPr>
                <w:rFonts w:ascii="Times New Roman" w:hAnsi="Times New Roman"/>
                <w:color w:val="000000" w:themeColor="text1"/>
              </w:rPr>
              <w:t xml:space="preserve"> на поставку товару за</w:t>
            </w:r>
          </w:p>
          <w:p w:rsidR="0063611E" w:rsidRPr="000436DB" w:rsidRDefault="007076BC" w:rsidP="00210B0D">
            <w:pPr>
              <w:pStyle w:val="1"/>
              <w:rPr>
                <w:rFonts w:ascii="Times New Roman" w:hAnsi="Times New Roman"/>
                <w:b/>
                <w:color w:val="000000" w:themeColor="text1"/>
                <w:highlight w:val="yellow"/>
                <w:lang w:val="uk-UA"/>
              </w:rPr>
            </w:pPr>
            <w:r w:rsidRPr="007A2A6F">
              <w:rPr>
                <w:rFonts w:ascii="Times New Roman" w:hAnsi="Times New Roman"/>
                <w:color w:val="000000" w:themeColor="text1"/>
              </w:rPr>
              <w:t xml:space="preserve"> кодом</w:t>
            </w:r>
            <w:r w:rsidR="0063611E">
              <w:t xml:space="preserve"> </w:t>
            </w:r>
            <w:r w:rsidR="0063611E" w:rsidRPr="001E0A0D">
              <w:rPr>
                <w:rFonts w:ascii="Times New Roman" w:hAnsi="Times New Roman"/>
                <w:b/>
                <w:color w:val="000000" w:themeColor="text1"/>
              </w:rPr>
              <w:t>ДК 021:2015:15510000-6 – Молоко та вершки</w:t>
            </w:r>
          </w:p>
          <w:p w:rsidR="007076BC" w:rsidRPr="007C196F" w:rsidRDefault="0063611E" w:rsidP="001E0A0D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E0A0D">
              <w:rPr>
                <w:b/>
              </w:rPr>
              <w:t xml:space="preserve"> </w:t>
            </w:r>
            <w:r w:rsidR="007076BC" w:rsidRPr="001E0A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76BC"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.2. Копії аналогічних договорів</w:t>
            </w:r>
            <w:r w:rsidR="0070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усіма додатками</w:t>
            </w:r>
            <w:r w:rsidR="007076BC"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вказаних в довідці та оригінали листів-відгуків </w:t>
            </w:r>
            <w:proofErr w:type="gramStart"/>
            <w:r w:rsidR="007076BC"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7076BC"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ід Замовників до цих договорів про виконання Учасником договорів про закупівлю, яким виконувалася поставка товару.</w:t>
            </w:r>
          </w:p>
        </w:tc>
      </w:tr>
      <w:tr w:rsidR="000436DB" w:rsidRPr="000436DB" w:rsidTr="007076BC">
        <w:tc>
          <w:tcPr>
            <w:tcW w:w="518" w:type="dxa"/>
          </w:tcPr>
          <w:p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1" w:type="dxa"/>
          </w:tcPr>
          <w:p w:rsidR="000436DB" w:rsidRPr="007C196F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 в учасника процедури закупі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 обладнання, матеріально-технічної бази та технологій</w:t>
            </w:r>
          </w:p>
        </w:tc>
        <w:tc>
          <w:tcPr>
            <w:tcW w:w="7314" w:type="dxa"/>
          </w:tcPr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Довідка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 дов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ільній формі, що містить інформацію про наявність обладнання та матеріально-технічної бази, яка повинна включати інформацію про: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Наявність складських/виробничих приміщень. Для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ідтвердження надається відповідний документ, який підтверджує право власності чи користуванням відповідним приміщенням.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Наявність спеціалізованого транспорту для перевезення Товару із зазначенням правової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ідстави користування відповідним транспортом та наданням відповідних підтверджуючих документів.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Також учасник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 тендерної пропозиції повинен подати: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Документи, що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ідтверджують проведення робіт із санітарної обробки спеціалізованого транспортного засобу в кількості не менше 2-ох одиниць (усіх ТЗ, якими буде здійснюватися поставка товару під час виконання договору, надати договір санітарної обробки з графіком, довідку (акт, інший документ) про санітарну обробку транспортних засобів, проведену спеціалізованим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ідприємством щодекадно протягом останніх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місяців, що передують даті подання пропозиції.У разі якщо учасник орендує/залучає потужності, то в складі тендерної пропозиції 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потрібно надати документи, які підтверджують  користування даними потужностями (документи, які підтверджують дотримання санітарних норм можуть подаватися в тому числі  від орендодавця).</w:t>
            </w:r>
          </w:p>
          <w:p w:rsid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Автомобільний транспорт, що буде залучений до поставки продукції має бути належно обладнаний для дотримання умов перевезення товару. Для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ідтвердження цього факту, учасник має надати довідку (або інший документ), видану органом із сертифікації (акредитованим Національним  агентством з акредитації України) про  кількість та найменування транспортних засобів учасника, щодо яких проводився аудит/перевірка.  Довідка має містити інформацію про діапазон температурного режиму, який може бути забезпечений у транспортних засобах учасника та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ідтверджувати, що учасник спроможний поставляти безпечну для споживання продукцію. Додатково надається сертифікат відповідності щодо  транспортування (код КВЕД 49.41) продуктів харчування; оптова та роздрібна торгівля, розповсюдження, реалізація та постачання харчових продуктів охолоджених,  та </w:t>
            </w:r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ійких до навколишнього середовища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436DB" w:rsidRPr="000436DB" w:rsidTr="007076BC">
        <w:tc>
          <w:tcPr>
            <w:tcW w:w="518" w:type="dxa"/>
          </w:tcPr>
          <w:p w:rsid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91" w:type="dxa"/>
          </w:tcPr>
          <w:p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314" w:type="dxa"/>
          </w:tcPr>
          <w:p w:rsidR="000436DB" w:rsidRPr="00AC7BAF" w:rsidRDefault="000436DB" w:rsidP="00043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 повинен надати інформацію про наявність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працівників, які будуть залучені до постачання продукті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(водія та експедитора) </w:t>
            </w:r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у кількості поданих автотранспортних засобів).</w:t>
            </w:r>
          </w:p>
          <w:p w:rsidR="000436DB" w:rsidRPr="005F0B23" w:rsidRDefault="000436DB" w:rsidP="000436DB">
            <w:pPr>
              <w:shd w:val="clear" w:color="auto" w:fill="FFFFFF"/>
              <w:spacing w:after="0" w:line="240" w:lineRule="auto"/>
              <w:ind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ля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ідтвердження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 повинен додати:</w:t>
            </w:r>
          </w:p>
          <w:p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0"/>
              </w:rPr>
              <w:t>Медичні книжки (з чинним медоглядом), які будуть супроводжувати постачання предмету закупі</w:t>
            </w:r>
            <w:proofErr w:type="gramStart"/>
            <w:r w:rsidRPr="005F0B23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5F0B23">
              <w:rPr>
                <w:rFonts w:ascii="Times New Roman" w:hAnsi="Times New Roman"/>
                <w:color w:val="000000"/>
              </w:rPr>
              <w:t>і, та скан-копії водійських посвідчень водіїв.</w:t>
            </w:r>
          </w:p>
          <w:p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eastAsia="Times New Roman" w:hAnsi="Times New Roman" w:cs="Times New Roman"/>
              </w:rPr>
              <w:t>Надати довідку про проходження попереднього, періодичного та позачергового психіатричних оглядів водія відповідно до поданих автотранспортних засобі</w:t>
            </w:r>
            <w:proofErr w:type="gramStart"/>
            <w:r w:rsidRPr="005F0B2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F0B23">
              <w:rPr>
                <w:rFonts w:ascii="Times New Roman" w:eastAsia="Times New Roman" w:hAnsi="Times New Roman" w:cs="Times New Roman"/>
              </w:rPr>
              <w:t>.</w:t>
            </w:r>
          </w:p>
          <w:p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</w:t>
            </w:r>
            <w:proofErr w:type="gram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метою виконання положень статті 18 Закону України «Про охорону праці» Учасник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повинен підтвердити наявність працівників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, які пройшли навчання та перевірку знань щодо законів та нормативно-правових актів у сфері охорони праці та пожежної безпеки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. Для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ідтвердження потрібно надати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 складі тендерної пропозиції відповідні документ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и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, а саме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: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скановану з оригіналу копію посвідчень про перевірку знань з охорони праці таких працівників (не менше одного) та витягу з протоколу </w:t>
            </w:r>
            <w:r w:rsidRPr="008C3C31">
              <w:rPr>
                <w:rFonts w:ascii="Times New Roman" w:hAnsi="Times New Roman"/>
                <w:color w:val="00000A"/>
                <w:shd w:val="clear" w:color="auto" w:fill="FFFFFF"/>
              </w:rPr>
              <w:t>комісії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перевірки знань з охорони праці, що містить інформацію про результати перевірки знань з охорони праці та пожежної безпеки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(документи мають </w:t>
            </w:r>
            <w:proofErr w:type="gram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бути</w:t>
            </w:r>
            <w:proofErr w:type="gram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сформовані не раніше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2023 ро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ку).</w:t>
            </w:r>
          </w:p>
        </w:tc>
      </w:tr>
    </w:tbl>
    <w:p w:rsid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42CF" w:rsidRPr="004E42CF" w:rsidRDefault="004E42CF" w:rsidP="004E42CF">
      <w:pPr>
        <w:keepNext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2. Інші документи, що вимагаються Замовником</w:t>
      </w:r>
    </w:p>
    <w:p w:rsidR="000436DB" w:rsidRPr="00C46413" w:rsidRDefault="000436DB" w:rsidP="000436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47 Особливостей.</w:t>
      </w:r>
    </w:p>
    <w:p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t>Учасник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350780">
        <w:rPr>
          <w:rFonts w:ascii="Times New Roman" w:eastAsia="Times New Roman" w:hAnsi="Times New Roman" w:cs="Times New Roman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0780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350780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350780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350780">
        <w:rPr>
          <w:rFonts w:ascii="Times New Roman" w:eastAsia="Times New Roman" w:hAnsi="Times New Roman" w:cs="Times New Roman"/>
        </w:rPr>
        <w:t>п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350780">
        <w:rPr>
          <w:rFonts w:ascii="Times New Roman" w:eastAsia="Times New Roman" w:hAnsi="Times New Roman" w:cs="Times New Roman"/>
          <w:highlight w:val="white"/>
        </w:rPr>
        <w:t xml:space="preserve">47 </w:t>
      </w:r>
      <w:r w:rsidRPr="00350780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350780">
        <w:rPr>
          <w:rFonts w:ascii="Times New Roman" w:eastAsia="Times New Roman" w:hAnsi="Times New Roman" w:cs="Times New Roman"/>
        </w:rPr>
        <w:t>вл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350780">
        <w:rPr>
          <w:rFonts w:ascii="Times New Roman" w:eastAsia="Times New Roman" w:hAnsi="Times New Roman" w:cs="Times New Roman"/>
        </w:rPr>
        <w:t>п</w:t>
      </w:r>
      <w:proofErr w:type="gramEnd"/>
      <w:r w:rsidRPr="00350780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</w:rPr>
      </w:pPr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50780">
        <w:rPr>
          <w:rFonts w:ascii="Times New Roman" w:eastAsia="Times New Roman" w:hAnsi="Times New Roman" w:cs="Times New Roman"/>
          <w:i/>
          <w:color w:val="4A86E8"/>
        </w:rPr>
        <w:t>техн</w:t>
      </w:r>
      <w:proofErr w:type="gramEnd"/>
      <w:r w:rsidRPr="00350780">
        <w:rPr>
          <w:rFonts w:ascii="Times New Roman" w:eastAsia="Times New Roman" w:hAnsi="Times New Roman" w:cs="Times New Roman"/>
          <w:i/>
          <w:color w:val="4A86E8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0780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350780">
        <w:rPr>
          <w:rFonts w:ascii="Times New Roman" w:eastAsia="Times New Roman" w:hAnsi="Times New Roman" w:cs="Times New Roman"/>
        </w:rPr>
        <w:t>в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350780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</w:t>
      </w:r>
      <w:proofErr w:type="gramStart"/>
      <w:r w:rsidRPr="00350780">
        <w:rPr>
          <w:rFonts w:ascii="Times New Roman" w:eastAsia="Times New Roman" w:hAnsi="Times New Roman" w:cs="Times New Roman"/>
          <w:i/>
        </w:rPr>
        <w:t>вл</w:t>
      </w:r>
      <w:proofErr w:type="gramEnd"/>
      <w:r w:rsidRPr="00350780">
        <w:rPr>
          <w:rFonts w:ascii="Times New Roman" w:eastAsia="Times New Roman" w:hAnsi="Times New Roman" w:cs="Times New Roman"/>
          <w:i/>
        </w:rPr>
        <w:t>і)</w:t>
      </w:r>
      <w:r w:rsidRPr="00350780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0436DB" w:rsidRDefault="000436DB" w:rsidP="000436DB">
      <w:pP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  <w:br w:type="page"/>
      </w:r>
    </w:p>
    <w:p w:rsidR="000436DB" w:rsidRPr="00C46413" w:rsidRDefault="000436DB" w:rsidP="000436D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0436DB" w:rsidRPr="00C46413" w:rsidRDefault="000436DB" w:rsidP="0004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 47 Особливостей:</w:t>
      </w:r>
    </w:p>
    <w:p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Переможець процедури закупі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вл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і у строк, що не перевищує </w:t>
      </w:r>
      <w:r w:rsidRPr="008A160C">
        <w:rPr>
          <w:rFonts w:ascii="Times New Roman" w:hAnsi="Times New Roman" w:cs="Times New Roman"/>
          <w:b/>
          <w:color w:val="000000" w:themeColor="text1"/>
          <w:shd w:val="solid" w:color="FFFFFF" w:fill="FFFFFF"/>
          <w:lang w:eastAsia="en-US"/>
        </w:rPr>
        <w:t>чотири дні</w:t>
      </w: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Замовник не вимагає документального 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</w:t>
      </w:r>
      <w:r w:rsidRPr="008A160C">
        <w:rPr>
          <w:rFonts w:ascii="Times New Roman" w:hAnsi="Times New Roman" w:cs="Times New Roman"/>
          <w:b/>
          <w:i/>
          <w:color w:val="000000" w:themeColor="text1"/>
          <w:shd w:val="solid" w:color="FFFFFF" w:fill="FFFFFF"/>
          <w:lang w:eastAsia="en-US"/>
        </w:rPr>
        <w:t>крім випадків</w:t>
      </w:r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, коли доступ до такої інформації є обмеженим на момент оприлюднення оголошення про проведення відкритих торгі</w:t>
      </w:r>
      <w:proofErr w:type="gram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</w:t>
      </w:r>
      <w:proofErr w:type="gram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</w:p>
    <w:p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p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0436DB" w:rsidRPr="00C46413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Таблиця 2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436DB" w:rsidRPr="002223BC" w:rsidTr="003B3D1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№</w:t>
            </w:r>
          </w:p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з/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0436DB" w:rsidRPr="002223BC" w:rsidTr="003B3D1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Замовник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223BC">
              <w:rPr>
                <w:rFonts w:ascii="Times New Roman" w:hAnsi="Times New Roman" w:cs="Times New Roman"/>
              </w:rPr>
              <w:t>іряє цю інформацію самостійно.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hAnsi="Times New Roman" w:cs="Times New Roman"/>
              </w:rPr>
              <w:t xml:space="preserve">Водночас, враховуючи вимогу абз.15 пункту 47 Особливостей, переможець має обов’язок надати 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hAnsi="Times New Roman" w:cs="Times New Roman"/>
              </w:rPr>
              <w:t>ідтвердження відсутності відносно нього цієї підстави для відхилення (надати 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керівника учасника процедури закупі</w:t>
            </w:r>
            <w:proofErr w:type="gramStart"/>
            <w:r w:rsidRPr="002223BC">
              <w:rPr>
                <w:rFonts w:ascii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 (сформовану із реєстру </w:t>
            </w:r>
            <w:hyperlink r:id="rId6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:rsidTr="003B3D1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щодо керівника учасника процедури закупівлі. 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має бути оформлений </w:t>
            </w:r>
            <w:proofErr w:type="gramStart"/>
            <w:r w:rsidRPr="002223BC">
              <w:rPr>
                <w:rFonts w:ascii="Times New Roman" w:hAnsi="Times New Roman" w:cs="Times New Roman"/>
              </w:rPr>
              <w:t>не б</w:t>
            </w:r>
            <w:proofErr w:type="gramEnd"/>
            <w:r w:rsidRPr="002223BC">
              <w:rPr>
                <w:rFonts w:ascii="Times New Roman" w:hAnsi="Times New Roman" w:cs="Times New Roman"/>
              </w:rPr>
              <w:t>ільше 30 денноїдавнинивідноснодатийогоподанняЗамовнику.</w:t>
            </w:r>
          </w:p>
        </w:tc>
      </w:tr>
      <w:tr w:rsidR="000436DB" w:rsidRPr="002223BC" w:rsidTr="003B3D1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6DB" w:rsidRPr="002223BC" w:rsidTr="003B3D1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436DB" w:rsidRPr="002223BC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36DB" w:rsidRPr="002223BC" w:rsidRDefault="000436DB" w:rsidP="000436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23BC">
        <w:rPr>
          <w:rFonts w:ascii="Times New Roman" w:eastAsia="Times New Roman" w:hAnsi="Times New Roman" w:cs="Times New Roman"/>
          <w:b/>
        </w:rPr>
        <w:t xml:space="preserve">3.2. Документи, які надаються ПЕРЕМОЖЦЕМ (фізичною особою чи фізичною особою — </w:t>
      </w:r>
      <w:proofErr w:type="gramStart"/>
      <w:r w:rsidRPr="002223BC">
        <w:rPr>
          <w:rFonts w:ascii="Times New Roman" w:eastAsia="Times New Roman" w:hAnsi="Times New Roman" w:cs="Times New Roman"/>
          <w:b/>
        </w:rPr>
        <w:t>п</w:t>
      </w:r>
      <w:proofErr w:type="gramEnd"/>
      <w:r w:rsidRPr="002223BC">
        <w:rPr>
          <w:rFonts w:ascii="Times New Roman" w:eastAsia="Times New Roman" w:hAnsi="Times New Roman" w:cs="Times New Roman"/>
          <w:b/>
        </w:rPr>
        <w:t>ідприємцем):</w:t>
      </w:r>
    </w:p>
    <w:p w:rsidR="000436DB" w:rsidRPr="002223BC" w:rsidRDefault="000436DB" w:rsidP="000436DB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2223BC">
        <w:rPr>
          <w:rFonts w:ascii="Times New Roman" w:eastAsia="Times New Roman" w:hAnsi="Times New Roman" w:cs="Times New Roman"/>
          <w:b/>
        </w:rPr>
        <w:t>Таблиця 3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436DB" w:rsidRPr="002223BC" w:rsidTr="003B3D1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 w:rsidRPr="002223BC">
              <w:rPr>
                <w:rFonts w:ascii="Times New Roman" w:eastAsia="Times New Roman" w:hAnsi="Times New Roman" w:cs="Times New Roman"/>
              </w:rPr>
              <w:t>ливостей</w:t>
            </w:r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0436DB" w:rsidRPr="002223BC" w:rsidTr="003B3D1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Замовник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перев</w:t>
            </w:r>
            <w:proofErr w:type="gramEnd"/>
            <w:r w:rsidRPr="002223BC">
              <w:rPr>
                <w:rFonts w:ascii="Times New Roman" w:hAnsi="Times New Roman" w:cs="Times New Roman"/>
              </w:rPr>
              <w:t>іряє цю інформацію самостійно.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Водночас, враховуючи вимогу абз.15 пункту 47 Особливостей, переможець має обов’язок надати  </w:t>
            </w:r>
            <w:proofErr w:type="gramStart"/>
            <w:r w:rsidRPr="002223BC">
              <w:rPr>
                <w:rFonts w:ascii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ідтвердження відсутності відносно нього цієї підстави для відхилення (надати Інформаційну довідку з Єдиного державного реєстру осіб, які вчинили корупційні або пов’язані з корупцією правопорушення, згідно з якою не буде знайдено інформації </w:t>
            </w:r>
            <w:r w:rsidRPr="002223BC">
              <w:rPr>
                <w:rFonts w:ascii="Times New Roman" w:hAnsi="Times New Roman" w:cs="Times New Roman"/>
              </w:rPr>
              <w:lastRenderedPageBreak/>
              <w:t>про корупційні або пов’язані з корупцією правопорушення керівника учасника процедури закупі</w:t>
            </w:r>
            <w:proofErr w:type="gramStart"/>
            <w:r w:rsidRPr="002223BC">
              <w:rPr>
                <w:rFonts w:ascii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hAnsi="Times New Roman" w:cs="Times New Roman"/>
              </w:rPr>
              <w:t xml:space="preserve">і (сформовану із реєстру </w:t>
            </w:r>
            <w:hyperlink r:id="rId7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:rsidTr="003B3D1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Повний витяг з інформаційно-аналітичної системи «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</w:rPr>
              <w:t>Обл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має бути оформлений </w:t>
            </w:r>
            <w:proofErr w:type="gramStart"/>
            <w:r w:rsidRPr="002223BC">
              <w:rPr>
                <w:rFonts w:ascii="Times New Roman" w:hAnsi="Times New Roman" w:cs="Times New Roman"/>
              </w:rPr>
              <w:t>не б</w:t>
            </w:r>
            <w:proofErr w:type="gramEnd"/>
            <w:r w:rsidRPr="002223BC">
              <w:rPr>
                <w:rFonts w:ascii="Times New Roman" w:hAnsi="Times New Roman" w:cs="Times New Roman"/>
              </w:rPr>
              <w:t>ільше 30 денноїдавнинивідноснодатийогоподанняЗамовнику.</w:t>
            </w:r>
          </w:p>
        </w:tc>
      </w:tr>
      <w:tr w:rsidR="000436DB" w:rsidRPr="002223BC" w:rsidTr="003B3D1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36DB" w:rsidRPr="002223BC" w:rsidTr="003B3D15">
        <w:trPr>
          <w:trHeight w:val="5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2223BC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2223BC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2223BC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0436DB" w:rsidRDefault="000436DB" w:rsidP="000436DB">
      <w:pPr>
        <w:rPr>
          <w:rFonts w:ascii="Times New Roman" w:hAnsi="Times New Roman" w:cs="Times New Roman"/>
        </w:rPr>
      </w:pPr>
    </w:p>
    <w:p w:rsidR="004E42CF" w:rsidRPr="004E42CF" w:rsidRDefault="004E42CF" w:rsidP="004E42CF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 БЛАНКУ УЧАСНИКА (за наявності)</w:t>
      </w:r>
    </w:p>
    <w:p w:rsidR="004E42CF" w:rsidRPr="004E42CF" w:rsidRDefault="004E42CF" w:rsidP="004E42CF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ДОВІДКА </w:t>
      </w: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ПРО НАЯВНІСТЬ ДОСВІДУ ВИКОНАННЯ АНАЛОГІЧНОГО ДОГОВОРУ</w:t>
      </w:r>
    </w:p>
    <w:p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 xml:space="preserve">     (найменування/ПІБ Учасника)     </w:t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вимог статті 16 Закону України «Про публічні закупівлі» та тендерної документації, повідомляє про наявність досвіду виконання аналогічного за предметом закупівлі договору,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72"/>
        <w:gridCol w:w="1874"/>
        <w:gridCol w:w="1773"/>
        <w:gridCol w:w="1773"/>
        <w:gridCol w:w="1793"/>
      </w:tblGrid>
      <w:tr w:rsidR="004E42CF" w:rsidRPr="004E42CF" w:rsidTr="00135F46">
        <w:tc>
          <w:tcPr>
            <w:tcW w:w="603" w:type="dxa"/>
            <w:shd w:val="clear" w:color="auto" w:fill="auto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06" w:type="dxa"/>
            <w:shd w:val="clear" w:color="auto" w:fill="auto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договору</w:t>
            </w:r>
          </w:p>
        </w:tc>
        <w:tc>
          <w:tcPr>
            <w:tcW w:w="1907" w:type="dxa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дії договору</w:t>
            </w:r>
          </w:p>
        </w:tc>
      </w:tr>
      <w:tr w:rsidR="004E42CF" w:rsidRPr="004E42CF" w:rsidTr="00135F46">
        <w:tc>
          <w:tcPr>
            <w:tcW w:w="603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2CF" w:rsidRPr="004E42CF" w:rsidTr="00135F46">
        <w:tc>
          <w:tcPr>
            <w:tcW w:w="603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2CF" w:rsidRPr="004E42CF" w:rsidRDefault="004E42CF" w:rsidP="004E42CF">
      <w:pPr>
        <w:pBdr>
          <w:top w:val="single" w:sz="4" w:space="1" w:color="auto"/>
        </w:pBdr>
        <w:spacing w:before="120" w:after="1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наявності))</w:t>
      </w:r>
    </w:p>
    <w:sectPr w:rsidR="004E42CF" w:rsidRPr="004E42CF" w:rsidSect="00D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3D"/>
    <w:multiLevelType w:val="hybridMultilevel"/>
    <w:tmpl w:val="A4A6F03E"/>
    <w:lvl w:ilvl="0" w:tplc="1E48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8505A"/>
    <w:multiLevelType w:val="hybridMultilevel"/>
    <w:tmpl w:val="678250B4"/>
    <w:lvl w:ilvl="0" w:tplc="71843D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88A"/>
    <w:multiLevelType w:val="hybridMultilevel"/>
    <w:tmpl w:val="5F38643C"/>
    <w:lvl w:ilvl="0" w:tplc="0A362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42CF"/>
    <w:rsid w:val="000436DB"/>
    <w:rsid w:val="00141D7A"/>
    <w:rsid w:val="001C6C09"/>
    <w:rsid w:val="001C790A"/>
    <w:rsid w:val="001E0A0D"/>
    <w:rsid w:val="00210B0D"/>
    <w:rsid w:val="00287986"/>
    <w:rsid w:val="00354513"/>
    <w:rsid w:val="003F0018"/>
    <w:rsid w:val="00441483"/>
    <w:rsid w:val="004E42CF"/>
    <w:rsid w:val="005267DF"/>
    <w:rsid w:val="0057463B"/>
    <w:rsid w:val="00585C16"/>
    <w:rsid w:val="005E48FB"/>
    <w:rsid w:val="0063611E"/>
    <w:rsid w:val="006F0A2B"/>
    <w:rsid w:val="007076BC"/>
    <w:rsid w:val="00A83DE1"/>
    <w:rsid w:val="00B0291A"/>
    <w:rsid w:val="00BD0092"/>
    <w:rsid w:val="00C42488"/>
    <w:rsid w:val="00D17B9C"/>
    <w:rsid w:val="00ED45AA"/>
    <w:rsid w:val="00F21C71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B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E42CF"/>
    <w:rPr>
      <w:color w:val="0000FF"/>
      <w:u w:val="single"/>
    </w:rPr>
  </w:style>
  <w:style w:type="paragraph" w:styleId="a5">
    <w:name w:val="Body Text Indent"/>
    <w:basedOn w:val="a0"/>
    <w:link w:val="a6"/>
    <w:rsid w:val="004E42CF"/>
    <w:pPr>
      <w:widowControl w:val="0"/>
      <w:suppressAutoHyphens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6">
    <w:name w:val="Основний текст з відступом Знак"/>
    <w:basedOn w:val="a1"/>
    <w:link w:val="a5"/>
    <w:rsid w:val="004E42C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,заголовок 1.1,Текст таблицы"/>
    <w:basedOn w:val="a0"/>
    <w:link w:val="a8"/>
    <w:uiPriority w:val="34"/>
    <w:qFormat/>
    <w:rsid w:val="004E42CF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">
    <w:name w:val="_номер+)"/>
    <w:basedOn w:val="a0"/>
    <w:uiPriority w:val="99"/>
    <w:qFormat/>
    <w:rsid w:val="004E42CF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rsid w:val="004E42CF"/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заголовок 1.1 Знак,Текст таблицы Знак"/>
    <w:link w:val="a7"/>
    <w:uiPriority w:val="34"/>
    <w:qFormat/>
    <w:locked/>
    <w:rsid w:val="004E42C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4E42CF"/>
    <w:pPr>
      <w:spacing w:after="0" w:line="240" w:lineRule="auto"/>
    </w:pPr>
  </w:style>
  <w:style w:type="paragraph" w:styleId="2">
    <w:name w:val="Body Text Indent 2"/>
    <w:basedOn w:val="a0"/>
    <w:link w:val="20"/>
    <w:uiPriority w:val="99"/>
    <w:unhideWhenUsed/>
    <w:rsid w:val="007076BC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7076BC"/>
    <w:rPr>
      <w:rFonts w:ascii="Calibri" w:eastAsia="Times New Roman" w:hAnsi="Calibri" w:cs="Times New Roman"/>
      <w:lang w:val="uk-UA" w:eastAsia="uk-UA"/>
    </w:rPr>
  </w:style>
  <w:style w:type="paragraph" w:customStyle="1" w:styleId="1">
    <w:name w:val="Без интервала1"/>
    <w:qFormat/>
    <w:rsid w:val="00BD009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10378</Words>
  <Characters>5917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2023-02-20T12:22:00Z</dcterms:created>
  <dcterms:modified xsi:type="dcterms:W3CDTF">2024-02-18T16:54:00Z</dcterms:modified>
</cp:coreProperties>
</file>