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Додаток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>
      <w:pPr>
        <w:wordWrap w:val="0"/>
        <w:jc w:val="right"/>
        <w:rPr>
          <w:rFonts w:hint="default"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тендерно</w:t>
      </w: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>ї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документац</w:t>
      </w: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>ії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Медико-технічні вимоги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jc w:val="center"/>
        <w:rPr>
          <w:rFonts w:hint="default"/>
          <w:lang w:val="uk-UA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b/>
          <w:sz w:val="22"/>
          <w:szCs w:val="22"/>
          <w:lang w:val="uk-UA"/>
        </w:rPr>
        <w:t>33690000-3 «Лікарські засоби різні»</w:t>
      </w:r>
      <w:r>
        <w:rPr>
          <w:b/>
          <w:sz w:val="22"/>
          <w:szCs w:val="22"/>
          <w:lang w:val="ru-RU"/>
        </w:rPr>
        <w:t xml:space="preserve">. </w:t>
      </w:r>
      <w:r>
        <w:rPr>
          <w:b/>
          <w:sz w:val="22"/>
          <w:szCs w:val="22"/>
          <w:lang w:val="uk-UA"/>
        </w:rPr>
        <w:t>Реактиви</w:t>
      </w:r>
      <w:r>
        <w:rPr>
          <w:rFonts w:hint="default"/>
          <w:b/>
          <w:sz w:val="22"/>
          <w:szCs w:val="22"/>
          <w:lang w:val="uk-UA"/>
        </w:rPr>
        <w:t xml:space="preserve"> 56 одиниць</w:t>
      </w:r>
    </w:p>
    <w:p>
      <w:pPr>
        <w:ind w:left="567"/>
        <w:jc w:val="both"/>
        <w:rPr>
          <w:b/>
          <w:sz w:val="22"/>
          <w:szCs w:val="22"/>
          <w:lang w:val="uk-UA"/>
        </w:rPr>
      </w:pPr>
    </w:p>
    <w:p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tbl>
      <w:tblPr>
        <w:tblStyle w:val="20"/>
        <w:tblW w:w="11341" w:type="dxa"/>
        <w:tblInd w:w="-116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2863"/>
        <w:gridCol w:w="2126"/>
        <w:gridCol w:w="3827"/>
        <w:gridCol w:w="1133"/>
        <w:gridCol w:w="9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3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ascii="Times New Roman" w:hAnsi="Times New Roman" w:cs="Times New Roman"/>
                <w:b/>
                <w:iCs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iCs/>
                <w:lang w:val="uk-UA" w:eastAsia="en-US"/>
              </w:rPr>
              <w:t>№ п/п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iCs/>
                <w:lang w:val="uk-UA" w:eastAsia="en-US"/>
              </w:rPr>
            </w:pPr>
          </w:p>
        </w:tc>
        <w:tc>
          <w:tcPr>
            <w:tcW w:w="2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iCs/>
                <w:lang w:val="uk-UA" w:eastAsia="en-US"/>
              </w:rPr>
              <w:t>Торговельна назва лікарського засобу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 за класифікатором медичних виробів НК 024:2019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iCs/>
                <w:lang w:val="uk-UA" w:eastAsia="en-US"/>
              </w:rPr>
              <w:t>Технічні вимоги</w:t>
            </w:r>
          </w:p>
        </w:tc>
        <w:tc>
          <w:tcPr>
            <w:tcW w:w="11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iCs/>
                <w:lang w:val="uk-UA" w:eastAsia="en-US"/>
              </w:rPr>
              <w:t>Одиниця виміру</w:t>
            </w:r>
          </w:p>
        </w:tc>
        <w:tc>
          <w:tcPr>
            <w:tcW w:w="9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iCs/>
                <w:lang w:val="uk-UA" w:eastAsia="en-US"/>
              </w:rPr>
              <w:t>Кіль</w:t>
            </w:r>
            <w:r>
              <w:rPr>
                <w:rFonts w:ascii="Times New Roman" w:hAnsi="Times New Roman" w:cs="Times New Roman"/>
                <w:b/>
                <w:iCs/>
                <w:lang w:val="en-US" w:eastAsia="en-US"/>
              </w:rPr>
              <w:t>-</w:t>
            </w:r>
            <w:r>
              <w:rPr>
                <w:rFonts w:ascii="Times New Roman" w:hAnsi="Times New Roman" w:cs="Times New Roman"/>
                <w:b/>
                <w:iCs/>
                <w:lang w:val="uk-UA" w:eastAsia="en-US"/>
              </w:rPr>
              <w:t>кість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Двофазна система ХайКомбі (10 фл/уп) (LQ012)</w:t>
            </w:r>
          </w:p>
          <w:p>
            <w:pPr>
              <w:rPr>
                <w:rFonts w:ascii="Times New Roman" w:hAnsi="Times New Roman" w:cs="Times New Roman"/>
              </w:rPr>
            </w:pPr>
            <w:bookmarkStart w:id="0" w:name="_Hlk157774742"/>
            <w:r>
              <w:rPr>
                <w:rFonts w:ascii="Times New Roman" w:hAnsi="Times New Roman" w:cs="Times New Roman"/>
              </w:rPr>
              <w:t>33696500-0 – Лабораторні реактиви</w:t>
            </w:r>
            <w:bookmarkEnd w:id="0"/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62106-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Комбінований агар,живильне середовище</w:t>
            </w:r>
          </w:p>
          <w:p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IVD (діагностика </w:t>
            </w:r>
            <w:r>
              <w:rPr>
                <w:rFonts w:ascii="Times New Roman" w:hAnsi="Times New Roman" w:cs="Times New Roman" w:eastAsiaTheme="minorHAnsi"/>
                <w:i/>
                <w:iCs/>
                <w:lang w:eastAsia="en-US"/>
              </w:rPr>
              <w:t>in vitro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)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Комбіноване середовище рекомендується використовувати для отримання швидкогозростання ентеробактерій, псевдомонад, стафілококів, стрептококів і грибів Candida.</w:t>
            </w:r>
          </w:p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Двухфазна система складається з рідкої та твердої фаз в одній скляній пляшці.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паков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Пептон ферментативний (RM1892)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33696500-0 – Лабораторні реактиви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eastAsia="Arial" w:cs="Times New Roman"/>
                <w:lang w:val="uk-UA" w:eastAsia="en-US"/>
              </w:rPr>
              <w:t>34018-І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ндоловий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бульйон/пептонна вода,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реагент для мікробіології</w:t>
            </w:r>
          </w:p>
          <w:p>
            <w:pPr>
              <w:pStyle w:val="7"/>
              <w:jc w:val="center"/>
              <w:rPr>
                <w:rFonts w:ascii="Times New Roman" w:hAnsi="Times New Roman" w:eastAsia="Arial" w:cs="Times New Roman"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IVD (діагностика </w:t>
            </w:r>
            <w:r>
              <w:rPr>
                <w:rFonts w:ascii="Times New Roman" w:hAnsi="Times New Roman" w:cs="Times New Roman" w:eastAsiaTheme="minorHAnsi"/>
                <w:i/>
                <w:iCs/>
                <w:sz w:val="22"/>
                <w:szCs w:val="22"/>
                <w:lang w:eastAsia="en-US"/>
              </w:rPr>
              <w:t xml:space="preserve">in vitro 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>)</w:t>
            </w:r>
          </w:p>
          <w:p>
            <w:pPr>
              <w:jc w:val="center"/>
              <w:rPr>
                <w:rFonts w:ascii="Times New Roman" w:hAnsi="Times New Roman" w:cs="Times New Roman"/>
                <w:highlight w:val="yellow"/>
                <w:lang w:val="uk-UA" w:eastAsia="en-US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Продукт гідролізу білку, названий пептоном, являє собою суміш поліпептидів, олігопептидів,</w:t>
            </w:r>
          </w:p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амінокислот, органічних джерел азоту, солей і мікроелементів. Застосування різних пептонів</w:t>
            </w:r>
          </w:p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відображає різні потреби мікроорганізмів в амінокислотах і пептидах. Характеристики пептону</w:t>
            </w:r>
          </w:p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залежать від джерел білка (казеїн, м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ясо або соя) і типу гідролізу: кислотного або ферментативного</w:t>
            </w:r>
          </w:p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(трипсин, пепсин або папаїн).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Агар Мюллера-Хінтона (М173) (0,5 кг)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33696500-0 – Лабораторні реактиви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58639-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Агар Мюллера-Хинтона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для дослідження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антимікробної чутливості,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живильне середовище</w:t>
            </w:r>
          </w:p>
          <w:p>
            <w:pPr>
              <w:jc w:val="center"/>
              <w:rPr>
                <w:rFonts w:ascii="Times New Roman" w:hAnsi="Times New Roman" w:cs="Times New Roman"/>
                <w:highlight w:val="yellow"/>
                <w:lang w:val="uk-UA"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IVD (діагностика </w:t>
            </w:r>
            <w:r>
              <w:rPr>
                <w:rFonts w:ascii="Times New Roman" w:hAnsi="Times New Roman" w:cs="Times New Roman" w:eastAsiaTheme="minorHAnsi"/>
                <w:i/>
                <w:iCs/>
                <w:lang w:eastAsia="en-US"/>
              </w:rPr>
              <w:t xml:space="preserve">in vitro 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)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uk-UA"/>
              </w:rPr>
              <w:t>ередовище використовують для культивування нейсерій і для визначення чутливості мікроорганізмів до антимікробних засобів.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Середовище Сланец-Бартлі для ентерококів (М612) (0,5 кг)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33696500-0 – Лабораторні реактиви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58573-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Хромогенний агар для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виявлення ванкоміцин-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резистентних ентерококів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(VRE), живильне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середовище IVD</w:t>
            </w:r>
          </w:p>
          <w:p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(діагностика </w:t>
            </w:r>
            <w:r>
              <w:rPr>
                <w:rFonts w:ascii="Times New Roman" w:hAnsi="Times New Roman" w:cs="Times New Roman" w:eastAsiaTheme="minorHAnsi"/>
                <w:i/>
                <w:iCs/>
                <w:lang w:eastAsia="en-US"/>
              </w:rPr>
              <w:t>in vitro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)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Середовище використовують для визначення і підрахунку ентерококів методом мембранних фільтрів.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Хромогенний агар для грибів Candida (М1297А) (0,5 кг)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33696500-0 – Лабораторні реактиви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58563-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Агар для Candida spp.,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живильне середовище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IVD (діагностика </w:t>
            </w:r>
            <w:r>
              <w:rPr>
                <w:rFonts w:ascii="Times New Roman" w:hAnsi="Times New Roman" w:cs="Times New Roman" w:eastAsiaTheme="minorHAnsi"/>
                <w:i/>
                <w:iCs/>
                <w:lang w:eastAsia="en-US"/>
              </w:rPr>
              <w:t xml:space="preserve">in vitro 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),хромогенне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Хромогенне середовище рекомендуються для швидкого виділення та ідентифікації грибів Candida зі змішаних культур.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Бульйон Хоттінгера (M1425) (0,1 кг)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33696500-0 – Лабораторні реактиви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34018-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 Індоловий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бульйон/пептонна вода,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реагент для мікробіології</w:t>
            </w:r>
          </w:p>
          <w:p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IVD (діагностика </w:t>
            </w:r>
            <w:r>
              <w:rPr>
                <w:rFonts w:ascii="Times New Roman" w:hAnsi="Times New Roman" w:cs="Times New Roman" w:eastAsiaTheme="minorHAnsi"/>
                <w:i/>
                <w:iCs/>
                <w:lang w:eastAsia="en-US"/>
              </w:rPr>
              <w:t xml:space="preserve">in vitro 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)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Бульйон Хоттінгера використовують для вирощування менш вибагливих мікроорганізмів та визначення індолу відповідно до Державної Фармакопеї.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Середовище Олькеницького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33696500-0 – Лабораторні реактиви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58690-Трицукровий залозистий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агар для дифенціації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Enterobacteriaceae IVD</w:t>
            </w:r>
          </w:p>
          <w:p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</w:rPr>
              <w:t xml:space="preserve">(діагностика </w:t>
            </w:r>
            <w:r>
              <w:rPr>
                <w:rFonts w:ascii="Times New Roman" w:hAnsi="Times New Roman" w:cs="Times New Roman"/>
                <w:i/>
                <w:iCs/>
              </w:rPr>
              <w:t>in vitro</w:t>
            </w:r>
          </w:p>
        </w:tc>
        <w:tc>
          <w:tcPr>
            <w:tcW w:w="3827" w:type="dxa"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9F9F9"/>
              </w:rPr>
              <w:t xml:space="preserve">  Середовище Олькеницького стерильне розплавлене середовище розливають у пробірки так, щоб при застиганні утворився заповнений "стовбчик" та "косяк" контактуючий з повітрям.</w:t>
            </w:r>
            <w:r>
              <w:rPr>
                <w:rFonts w:ascii="Times New Roman" w:hAnsi="Times New Roman" w:cs="Times New Roman"/>
              </w:rPr>
              <w:t xml:space="preserve"> За його допомогою можна виявити 5 показників:Ферментація глюкози - жовтий "стовбчик";Ферментація сахарози та (або) лактози - жовтий "косяк";Утворення сірководню - почорніння;Ферментація сечовини - малинове забарвлення;Утворення газу - бульбашки в товщі агару.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Фенілаланін агар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33696500-0 – Лабораторні реактиви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highlight w:val="yellow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62081 - Фенілаланіновий агар живильне середовище 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IVD (діагностика </w:t>
            </w:r>
            <w:r>
              <w:rPr>
                <w:rFonts w:ascii="Times New Roman" w:hAnsi="Times New Roman" w:cs="Times New Roman" w:eastAsiaTheme="minorHAnsi"/>
                <w:i/>
                <w:iCs/>
                <w:lang w:eastAsia="en-US"/>
              </w:rPr>
              <w:t xml:space="preserve">in vitro 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)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Середовище використовують для диференціації ентеробактерій за здатністю дезамінувати фенілаланін. Для аналізу середовище готують у вигляді скошеного агару в пробірках. 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Глюкозо-фосфатний бульйон (Кларка)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33696500-0 – Лабораторні реактиви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58631-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Бульйон з метиловим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червоним/Фогеса-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Проскауера, живильне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середовище IVD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(діагностика </w:t>
            </w:r>
            <w:r>
              <w:rPr>
                <w:rFonts w:ascii="Times New Roman" w:hAnsi="Times New Roman" w:cs="Times New Roman" w:eastAsiaTheme="minorHAnsi"/>
                <w:i/>
                <w:iCs/>
                <w:sz w:val="22"/>
                <w:szCs w:val="22"/>
                <w:lang w:eastAsia="en-US"/>
              </w:rPr>
              <w:t>in vitro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>)</w:t>
            </w:r>
          </w:p>
          <w:p>
            <w:pPr>
              <w:jc w:val="center"/>
              <w:rPr>
                <w:rFonts w:ascii="Times New Roman" w:hAnsi="Times New Roman" w:cs="Times New Roman"/>
                <w:highlight w:val="yellow"/>
                <w:lang w:val="uk-UA" w:eastAsia="en-US"/>
              </w:rPr>
            </w:pPr>
          </w:p>
        </w:tc>
        <w:tc>
          <w:tcPr>
            <w:tcW w:w="3827" w:type="dxa"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Глюкозо-фосфатный бульйон </w:t>
            </w:r>
            <w:r>
              <w:rPr>
                <w:rFonts w:ascii="Times New Roman" w:hAnsi="Times New Roman" w:cs="Times New Roman"/>
                <w:lang w:eastAsia="uk-UA"/>
              </w:rPr>
              <w:t>-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рідке поживне середовище з вираженими буферними властивостями. Основне використання середовища - культивування бактерій для проведення тесту Фогеса-Проскауера. 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Диски с кетоконазолом 10 мкг (SD224)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33698000-9 Вироби для клінічних досліджень/випробувань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61976-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 Кетоконазол, диски для</w:t>
            </w:r>
            <w:r>
              <w:rPr>
                <w:rFonts w:ascii="Times New Roman" w:hAnsi="Times New Roman" w:cs="Times New Roman" w:eastAsiaTheme="minorHAnsi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тестування на чутливість</w:t>
            </w:r>
            <w:r>
              <w:rPr>
                <w:rFonts w:ascii="Times New Roman" w:hAnsi="Times New Roman" w:cs="Times New Roman" w:eastAsiaTheme="minorHAnsi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IVD (діагностика </w:t>
            </w:r>
            <w:r>
              <w:rPr>
                <w:rFonts w:ascii="Times New Roman" w:hAnsi="Times New Roman" w:cs="Times New Roman" w:eastAsiaTheme="minorHAnsi"/>
                <w:i/>
                <w:iCs/>
                <w:lang w:eastAsia="en-US"/>
              </w:rPr>
              <w:t>in vitro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)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Диски</w:t>
            </w:r>
            <w:r>
              <w:rPr>
                <w:rFonts w:ascii="Times New Roman" w:hAnsi="Times New Roman" w:cs="Times New Roman"/>
                <w:lang w:val="uk-UA"/>
              </w:rPr>
              <w:t xml:space="preserve"> з к</w:t>
            </w:r>
            <w:r>
              <w:rPr>
                <w:rFonts w:ascii="Times New Roman" w:hAnsi="Times New Roman" w:cs="Times New Roman"/>
              </w:rPr>
              <w:t>етоконазолом 10 мкг для визначення чутливості мікроорганізмів</w:t>
            </w:r>
            <w:r>
              <w:rPr>
                <w:rFonts w:ascii="Times New Roman" w:hAnsi="Times New Roman" w:cs="Times New Roman"/>
                <w:lang w:val="uk-UA"/>
              </w:rPr>
              <w:t>.1 флакон-100 дисків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Диски з цефуроксимом 30 мкг (SD061)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33698000-9 Вироби для клінічних досліджень/випробувань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42487-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 Диски для тестування на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чутливість з цефуроксимом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натрію, IVD (діагностика </w:t>
            </w:r>
            <w:r>
              <w:rPr>
                <w:rFonts w:ascii="Times New Roman" w:hAnsi="Times New Roman" w:cs="Times New Roman" w:eastAsiaTheme="minorHAnsi"/>
                <w:i/>
                <w:iCs/>
                <w:lang w:eastAsia="en-US"/>
              </w:rPr>
              <w:t>in</w:t>
            </w:r>
            <w:r>
              <w:rPr>
                <w:rFonts w:ascii="Times New Roman" w:hAnsi="Times New Roman" w:cs="Times New Roman" w:eastAsiaTheme="minorHAnsi"/>
                <w:i/>
                <w:iCs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i/>
                <w:iCs/>
                <w:lang w:eastAsia="en-US"/>
              </w:rPr>
              <w:t xml:space="preserve">vitro 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)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</w:rPr>
              <w:t>Диски</w:t>
            </w:r>
            <w:r>
              <w:rPr>
                <w:rFonts w:ascii="Times New Roman" w:hAnsi="Times New Roman" w:cs="Times New Roman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</w:rPr>
              <w:t>цефуроксимом 30 мкг для визначення чутливості мікроорганізмів</w:t>
            </w:r>
            <w:r>
              <w:rPr>
                <w:rFonts w:ascii="Times New Roman" w:hAnsi="Times New Roman" w:cs="Times New Roman"/>
                <w:lang w:val="uk-UA"/>
              </w:rPr>
              <w:t>.1 флакон-100 дисків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флак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Диски з ц</w:t>
            </w:r>
            <w:r>
              <w:rPr>
                <w:rFonts w:ascii="Times New Roman" w:hAnsi="Times New Roman" w:cs="Times New Roman"/>
              </w:rPr>
              <w:t>ефтріаксон</w:t>
            </w:r>
            <w:r>
              <w:rPr>
                <w:rFonts w:ascii="Times New Roman" w:hAnsi="Times New Roman" w:cs="Times New Roman"/>
                <w:lang w:val="uk-UA"/>
              </w:rPr>
              <w:t>ом</w:t>
            </w:r>
            <w:r>
              <w:rPr>
                <w:rFonts w:ascii="Times New Roman" w:hAnsi="Times New Roman" w:cs="Times New Roman"/>
              </w:rPr>
              <w:t xml:space="preserve"> (30 мкг)</w:t>
            </w:r>
          </w:p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33698000-9 Вироби для клінічних досліджень/випробувань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44483-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 Диски для тестування на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чутливість з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цефтріаксоном, IVD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(діагностика </w:t>
            </w:r>
            <w:r>
              <w:rPr>
                <w:rFonts w:ascii="Times New Roman" w:hAnsi="Times New Roman" w:cs="Times New Roman" w:eastAsiaTheme="minorHAnsi"/>
                <w:i/>
                <w:iCs/>
                <w:sz w:val="22"/>
                <w:szCs w:val="22"/>
                <w:lang w:eastAsia="en-US"/>
              </w:rPr>
              <w:t xml:space="preserve">in vitro 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</w:rPr>
              <w:t>Диски</w:t>
            </w:r>
            <w:r>
              <w:rPr>
                <w:rFonts w:ascii="Times New Roman" w:hAnsi="Times New Roman" w:cs="Times New Roman"/>
                <w:lang w:val="uk-UA"/>
              </w:rPr>
              <w:t xml:space="preserve"> з ц</w:t>
            </w:r>
            <w:r>
              <w:rPr>
                <w:rFonts w:ascii="Times New Roman" w:hAnsi="Times New Roman" w:cs="Times New Roman"/>
              </w:rPr>
              <w:t>ефтріаксон 30 мкг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визначення чутливості мікроорганізмів</w:t>
            </w:r>
            <w:r>
              <w:rPr>
                <w:rFonts w:ascii="Times New Roman" w:hAnsi="Times New Roman" w:cs="Times New Roman"/>
                <w:lang w:val="uk-UA"/>
              </w:rPr>
              <w:t>.1 флакон-100 дисків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флак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Диски для визначення чутливості мікроорганізмів до лікарських засобів - Цефтазидим ЦФЗ 30 мкг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33698000-9 Вироби для клінічних досліджень/випробувань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i/>
                <w:iCs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37441-</w:t>
            </w:r>
            <w:r>
              <w:rPr>
                <w:rFonts w:ascii="Times New Roman" w:hAnsi="Times New Roman" w:cs="Times New Roman" w:eastAsiaTheme="minorHAnsi"/>
                <w:lang w:val="uk-UA" w:eastAsia="en-US"/>
              </w:rPr>
              <w:t xml:space="preserve"> Диск 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IVD</w:t>
            </w:r>
            <w:r>
              <w:rPr>
                <w:rFonts w:ascii="Times New Roman" w:hAnsi="Times New Roman" w:cs="Times New Roman" w:eastAsiaTheme="minorHAnsi"/>
                <w:lang w:val="uk-UA" w:eastAsia="en-US"/>
              </w:rPr>
              <w:t xml:space="preserve"> (діагностика </w:t>
            </w:r>
            <w:r>
              <w:rPr>
                <w:rFonts w:ascii="Times New Roman" w:hAnsi="Times New Roman" w:cs="Times New Roman" w:eastAsiaTheme="minorHAnsi"/>
                <w:i/>
                <w:iCs/>
                <w:lang w:eastAsia="en-US"/>
              </w:rPr>
              <w:t>in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val="uk-UA" w:eastAsia="en-US"/>
              </w:rPr>
            </w:pPr>
            <w:r>
              <w:rPr>
                <w:rFonts w:ascii="Times New Roman" w:hAnsi="Times New Roman" w:cs="Times New Roman" w:eastAsiaTheme="minorHAnsi"/>
                <w:i/>
                <w:iCs/>
                <w:lang w:eastAsia="en-US"/>
              </w:rPr>
              <w:t>vitro</w:t>
            </w:r>
            <w:r>
              <w:rPr>
                <w:rFonts w:ascii="Times New Roman" w:hAnsi="Times New Roman" w:cs="Times New Roman" w:eastAsiaTheme="minorHAnsi"/>
                <w:i/>
                <w:iCs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lang w:val="uk-UA" w:eastAsia="en-US"/>
              </w:rPr>
              <w:t>) для випробування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на сприйнятливість до</w:t>
            </w:r>
          </w:p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цефтазидиму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Диски</w:t>
            </w:r>
            <w:r>
              <w:rPr>
                <w:rFonts w:ascii="Times New Roman" w:hAnsi="Times New Roman" w:cs="Times New Roman"/>
                <w:lang w:val="uk-UA"/>
              </w:rPr>
              <w:t xml:space="preserve"> з ц</w:t>
            </w:r>
            <w:r>
              <w:rPr>
                <w:rFonts w:ascii="Times New Roman" w:hAnsi="Times New Roman" w:cs="Times New Roman"/>
              </w:rPr>
              <w:t>ефтазидим</w:t>
            </w:r>
            <w:r>
              <w:rPr>
                <w:rFonts w:ascii="Times New Roman" w:hAnsi="Times New Roman" w:cs="Times New Roman"/>
                <w:lang w:val="uk-UA"/>
              </w:rPr>
              <w:t xml:space="preserve">ом </w:t>
            </w:r>
            <w:r>
              <w:rPr>
                <w:rFonts w:ascii="Times New Roman" w:hAnsi="Times New Roman" w:cs="Times New Roman"/>
              </w:rPr>
              <w:t xml:space="preserve"> 30 мкг для визначення чутливості мікроорганізмів</w:t>
            </w:r>
            <w:r>
              <w:rPr>
                <w:rFonts w:ascii="Times New Roman" w:hAnsi="Times New Roman" w:cs="Times New Roman"/>
                <w:lang w:val="uk-UA"/>
              </w:rPr>
              <w:t>.1 флакон-100 дисків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Диски для визначення чутливості мікроорганізмів до лікарських засобів - Амоксицилін/клавуланова кислота для стафілококів (Амоксиклав) АМО 20/10 мкг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33698000-9 Вироби для клінічних досліджень/випробувань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val="uk-UA" w:eastAsia="en-US"/>
              </w:rPr>
              <w:t>46156-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Амоксицилін/клавуланова</w:t>
            </w:r>
            <w:r>
              <w:rPr>
                <w:rFonts w:ascii="Times New Roman" w:hAnsi="Times New Roman" w:cs="Times New Roman" w:eastAsiaTheme="minorHAnsi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кислота, диски для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тестування на чутливість</w:t>
            </w:r>
            <w:r>
              <w:rPr>
                <w:rFonts w:ascii="Times New Roman" w:hAnsi="Times New Roman" w:cs="Times New Roman" w:eastAsiaTheme="minorHAnsi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IVD (діагностика </w:t>
            </w:r>
            <w:r>
              <w:rPr>
                <w:rFonts w:ascii="Times New Roman" w:hAnsi="Times New Roman" w:cs="Times New Roman" w:eastAsiaTheme="minorHAnsi"/>
                <w:i/>
                <w:iCs/>
                <w:lang w:eastAsia="en-US"/>
              </w:rPr>
              <w:t>in vitro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)</w:t>
            </w:r>
          </w:p>
        </w:tc>
        <w:tc>
          <w:tcPr>
            <w:tcW w:w="3827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Диски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Амоксицилін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/клавуланова кислот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(Амоксиклав) 20/10 мкг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для визначення чутливості стафілококів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.1 флакон-100 дисків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Диски для визначення чутливості мікроорганізмів до лікарських засобів - Ампіцилін АМП 10 мкг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33698000-9 Вироби для клінічних досліджень/випробувань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46191-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 Ампіцилінові диски для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тестування на чутливість</w:t>
            </w:r>
          </w:p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IVD (діагностика </w:t>
            </w:r>
            <w:r>
              <w:rPr>
                <w:rFonts w:ascii="Times New Roman" w:hAnsi="Times New Roman" w:cs="Times New Roman" w:eastAsiaTheme="minorHAnsi"/>
                <w:i/>
                <w:iCs/>
                <w:lang w:eastAsia="en-US"/>
              </w:rPr>
              <w:t xml:space="preserve">in vitro 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)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Диски</w:t>
            </w:r>
            <w:r>
              <w:rPr>
                <w:rFonts w:ascii="Times New Roman" w:hAnsi="Times New Roman" w:cs="Times New Roman"/>
                <w:lang w:val="uk-UA"/>
              </w:rPr>
              <w:t xml:space="preserve"> з а</w:t>
            </w:r>
            <w:r>
              <w:rPr>
                <w:rFonts w:ascii="Times New Roman" w:hAnsi="Times New Roman" w:cs="Times New Roman"/>
              </w:rPr>
              <w:t>мпіцилін</w:t>
            </w:r>
            <w:r>
              <w:rPr>
                <w:rFonts w:ascii="Times New Roman" w:hAnsi="Times New Roman" w:cs="Times New Roman"/>
                <w:lang w:val="uk-UA"/>
              </w:rPr>
              <w:t>ом</w:t>
            </w:r>
            <w:r>
              <w:rPr>
                <w:rFonts w:ascii="Times New Roman" w:hAnsi="Times New Roman" w:cs="Times New Roman"/>
              </w:rPr>
              <w:t xml:space="preserve"> 10 мкг для визначення чутливості мікроорганізмів</w:t>
            </w:r>
            <w:r>
              <w:rPr>
                <w:rFonts w:ascii="Times New Roman" w:hAnsi="Times New Roman" w:cs="Times New Roman"/>
                <w:lang w:val="uk-UA"/>
              </w:rPr>
              <w:t>.1 флакон-100 дисків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Диски для визначення чутливості мікроорганізмів до лікарських засобів - Меропенем МЕР 10 мкг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33698000-9 Вироби для клінічних досліджень/випробувань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/>
              </w:rPr>
              <w:t>59147-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Меропенем, диски для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тестування на чутливість</w:t>
            </w:r>
          </w:p>
          <w:p>
            <w:pPr>
              <w:pStyle w:val="3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eastAsiaTheme="minorHAnsi"/>
              </w:rPr>
              <w:t xml:space="preserve">IVD (діагностика </w:t>
            </w:r>
            <w:r>
              <w:rPr>
                <w:rFonts w:ascii="Times New Roman" w:hAnsi="Times New Roman" w:eastAsiaTheme="minorHAnsi"/>
                <w:i/>
                <w:iCs/>
              </w:rPr>
              <w:t xml:space="preserve">in vitro </w:t>
            </w:r>
            <w:r>
              <w:rPr>
                <w:rFonts w:ascii="Times New Roman" w:hAnsi="Times New Roman" w:eastAsiaTheme="minorHAnsi"/>
              </w:rPr>
              <w:t>)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</w:rPr>
              <w:t>Диски</w:t>
            </w:r>
            <w:r>
              <w:rPr>
                <w:rFonts w:ascii="Times New Roman" w:hAnsi="Times New Roman" w:cs="Times New Roman"/>
                <w:lang w:val="uk-UA"/>
              </w:rPr>
              <w:t xml:space="preserve"> з меропінем</w:t>
            </w:r>
            <w:r>
              <w:rPr>
                <w:rFonts w:ascii="Times New Roman" w:hAnsi="Times New Roman" w:cs="Times New Roman"/>
              </w:rPr>
              <w:t>ом 10 мкг для визначення чутливості мікроорганізмів</w:t>
            </w:r>
            <w:r>
              <w:rPr>
                <w:rFonts w:ascii="Times New Roman" w:hAnsi="Times New Roman" w:cs="Times New Roman"/>
                <w:lang w:val="uk-UA"/>
              </w:rPr>
              <w:t>.1 флакон-100 дисків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Диски для визначення чутливості мікроорганізмів до лікарських засобів - Цефуроксим ЦУР 30 мкг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33698000-9 Вироби для клінічних досліджень/випробувань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42487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Диски для тестування на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чутливість з цефуроксимом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натрію, IVD (діагностика </w:t>
            </w:r>
            <w:r>
              <w:rPr>
                <w:rFonts w:ascii="Times New Roman" w:hAnsi="Times New Roman" w:cs="Times New Roman" w:eastAsiaTheme="minorHAnsi"/>
                <w:i/>
                <w:iCs/>
                <w:lang w:eastAsia="en-US"/>
              </w:rPr>
              <w:t>in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 w:eastAsiaTheme="minorHAnsi"/>
                <w:i/>
                <w:iCs/>
                <w:sz w:val="22"/>
                <w:szCs w:val="22"/>
                <w:lang w:eastAsia="en-US"/>
              </w:rPr>
              <w:t xml:space="preserve">vitro 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</w:rPr>
              <w:t>Диски</w:t>
            </w:r>
            <w:r>
              <w:rPr>
                <w:rFonts w:ascii="Times New Roman" w:hAnsi="Times New Roman" w:cs="Times New Roman"/>
                <w:lang w:val="uk-UA"/>
              </w:rPr>
              <w:t xml:space="preserve"> з цефуроксим</w:t>
            </w:r>
            <w:r>
              <w:rPr>
                <w:rFonts w:ascii="Times New Roman" w:hAnsi="Times New Roman" w:cs="Times New Roman"/>
              </w:rPr>
              <w:t xml:space="preserve">ом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</w:rPr>
              <w:t>0 мкг для визначення чутливості мікроорганізмів</w:t>
            </w:r>
            <w:r>
              <w:rPr>
                <w:rFonts w:ascii="Times New Roman" w:hAnsi="Times New Roman" w:cs="Times New Roman"/>
                <w:lang w:val="uk-UA"/>
              </w:rPr>
              <w:t>.1 флакон-100 дисків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Диски для визначення чутливості мікроорганізмів до лікарських засобів - Тобраміцин ТОБ 10 мкг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33698000-9 Вироби для клінічних досліджень/випробувань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59209-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Тобраміцин, диски для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тестування на чутливість</w:t>
            </w:r>
          </w:p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IVD (діагностика </w:t>
            </w:r>
            <w:r>
              <w:rPr>
                <w:rFonts w:ascii="Times New Roman" w:hAnsi="Times New Roman" w:cs="Times New Roman" w:eastAsiaTheme="minorHAnsi"/>
                <w:i/>
                <w:iCs/>
                <w:lang w:eastAsia="en-US"/>
              </w:rPr>
              <w:t xml:space="preserve">in vitro 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)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</w:rPr>
              <w:t>Диски</w:t>
            </w:r>
            <w:r>
              <w:rPr>
                <w:rFonts w:ascii="Times New Roman" w:hAnsi="Times New Roman" w:cs="Times New Roman"/>
                <w:lang w:val="uk-UA"/>
              </w:rPr>
              <w:t xml:space="preserve"> з тобрамицин</w:t>
            </w:r>
            <w:r>
              <w:rPr>
                <w:rFonts w:ascii="Times New Roman" w:hAnsi="Times New Roman" w:cs="Times New Roman"/>
              </w:rPr>
              <w:t>ом 10 мкг для визначення чутливості мікроорганізмів</w:t>
            </w:r>
            <w:r>
              <w:rPr>
                <w:rFonts w:ascii="Times New Roman" w:hAnsi="Times New Roman" w:cs="Times New Roman"/>
                <w:lang w:val="uk-UA"/>
              </w:rPr>
              <w:t>.1 флакон-100 дисків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Диски для визначення чутливості мікроорганізмів до лікарських засобів - Амікацин АМК 30 мкг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33698000-9 Вироби для клінічних досліджень/випробувань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45445-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 Амікацинові диски для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тестування на чутливість,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IVD (діагностика </w:t>
            </w:r>
            <w:r>
              <w:rPr>
                <w:rFonts w:ascii="Times New Roman" w:hAnsi="Times New Roman" w:cs="Times New Roman" w:eastAsiaTheme="minorHAnsi"/>
                <w:i/>
                <w:iCs/>
                <w:sz w:val="22"/>
                <w:szCs w:val="22"/>
                <w:lang w:eastAsia="en-US"/>
              </w:rPr>
              <w:t xml:space="preserve">in vitro 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7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Диски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 амікацином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 мкг для визначення чутливості мікроорганізмів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.1 флакон-100 дисків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Диски для визначення чутливості мікроорганізмів до лікарських засобів - Гентаміцин ГЕТ 10 мкг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33698000-9 Вироби для клінічних досліджень/випробувань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45529-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 Гентаміцинові диски для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тестування на чутливість</w:t>
            </w:r>
          </w:p>
          <w:p>
            <w:pPr>
              <w:pStyle w:val="42"/>
              <w:jc w:val="center"/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IVD (діагностика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in vitro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827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Диски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 гентаміцин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 10 мкг для визначення чутливості мікроорганізмів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.1 флакон-100 дисків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Диски для визначення чутливості мікроорганізмів до лікарських засобів - Ломефлоксацин ЛМФ 10 мкг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33698000-9 Вироби для клінічних досліджень/випробувань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59144-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 Ломефлоксацин, диски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для тестування на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чутливість IVD</w:t>
            </w:r>
          </w:p>
          <w:p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(діагностика </w:t>
            </w:r>
            <w:r>
              <w:rPr>
                <w:rFonts w:ascii="Times New Roman" w:hAnsi="Times New Roman" w:cs="Times New Roman" w:eastAsiaTheme="minorHAnsi"/>
                <w:i/>
                <w:iCs/>
                <w:lang w:eastAsia="en-US"/>
              </w:rPr>
              <w:t xml:space="preserve">in vitro 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)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Диски</w:t>
            </w:r>
            <w:r>
              <w:rPr>
                <w:rFonts w:ascii="Times New Roman" w:hAnsi="Times New Roman" w:cs="Times New Roman"/>
                <w:lang w:val="uk-UA"/>
              </w:rPr>
              <w:t xml:space="preserve"> з л</w:t>
            </w:r>
            <w:r>
              <w:rPr>
                <w:rFonts w:ascii="Times New Roman" w:hAnsi="Times New Roman" w:cs="Times New Roman"/>
              </w:rPr>
              <w:t>омефлоксацином 10 мкг для визначення чутливості мікроорганізмів</w:t>
            </w:r>
            <w:r>
              <w:rPr>
                <w:rFonts w:ascii="Times New Roman" w:hAnsi="Times New Roman" w:cs="Times New Roman"/>
                <w:lang w:val="uk-UA"/>
              </w:rPr>
              <w:t>.1 флакон-100 дисків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Диски для визначення чутливості мікроорганізмів до лікарських засобів - Офлоксацин ОФЛ 5 мкг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33698000-9 Вироби для клінічних досліджень/випробувань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lang w:val="uk-UA"/>
              </w:rPr>
              <w:t>59165-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 Офлоксацин, диски для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тестування на чутливість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IVD (діагностика </w:t>
            </w:r>
            <w:r>
              <w:rPr>
                <w:rFonts w:ascii="Times New Roman" w:hAnsi="Times New Roman" w:cs="Times New Roman" w:eastAsiaTheme="minorHAnsi"/>
                <w:i/>
                <w:iCs/>
                <w:sz w:val="22"/>
                <w:szCs w:val="22"/>
                <w:lang w:eastAsia="en-US"/>
              </w:rPr>
              <w:t xml:space="preserve">in vitro 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7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Диски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 офлоксацином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мкг для визначення чутливості мікроорганізмів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.1 флакон-100 дисків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Диски для визначення чутливості мікроорганізмів до лікарських засобів - Ципрофлоксацин ЦИП 5 мкг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33698000-9 Вироби для клінічних досліджень/випробувань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45359-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 Ципрофлоксацинові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диски для тестування на</w:t>
            </w:r>
            <w:r>
              <w:rPr>
                <w:rFonts w:ascii="Times New Roman" w:hAnsi="Times New Roman" w:cs="Times New Roman" w:eastAsiaTheme="minorHAnsi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чутливість IVD</w:t>
            </w:r>
          </w:p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(діагностика </w:t>
            </w:r>
            <w:r>
              <w:rPr>
                <w:rFonts w:ascii="Times New Roman" w:hAnsi="Times New Roman" w:cs="Times New Roman" w:eastAsiaTheme="minorHAnsi"/>
                <w:i/>
                <w:iCs/>
                <w:lang w:eastAsia="en-US"/>
              </w:rPr>
              <w:t>in vitro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)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Диски</w:t>
            </w:r>
            <w:r>
              <w:rPr>
                <w:rFonts w:ascii="Times New Roman" w:hAnsi="Times New Roman" w:cs="Times New Roman"/>
                <w:lang w:val="uk-UA"/>
              </w:rPr>
              <w:t xml:space="preserve"> з ципрофлоксацином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мкг для визначення чутливості мікроорганізмів</w:t>
            </w:r>
            <w:r>
              <w:rPr>
                <w:rFonts w:ascii="Times New Roman" w:hAnsi="Times New Roman" w:cs="Times New Roman"/>
                <w:lang w:val="uk-UA"/>
              </w:rPr>
              <w:t>.1 флакон-100 дисків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Диски для визначення чутливості мікроорганізмів до лікарських засобів - Гатіфлоксацин ГАТ 5 мкг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33698000-9 Вироби для клінічних досліджень/випробувань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45379-</w:t>
            </w:r>
            <w:r>
              <w:rPr>
                <w:rFonts w:ascii="Times New Roman" w:hAnsi="Times New Roman" w:cs="Times New Roman" w:eastAsiaTheme="minorHAnsi"/>
                <w:lang w:val="uk-UA" w:eastAsia="en-US"/>
              </w:rPr>
              <w:t xml:space="preserve"> Гатифлоксацин,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val="uk-UA" w:eastAsia="en-US"/>
              </w:rPr>
            </w:pPr>
            <w:r>
              <w:rPr>
                <w:rFonts w:ascii="Times New Roman" w:hAnsi="Times New Roman" w:cs="Times New Roman" w:eastAsiaTheme="minorHAnsi"/>
                <w:lang w:val="uk-UA" w:eastAsia="en-US"/>
              </w:rPr>
              <w:t>мінімальна інгібувальна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val="uk-UA" w:eastAsia="en-US"/>
              </w:rPr>
            </w:pPr>
            <w:r>
              <w:rPr>
                <w:rFonts w:ascii="Times New Roman" w:hAnsi="Times New Roman" w:cs="Times New Roman" w:eastAsiaTheme="minorHAnsi"/>
                <w:lang w:val="uk-UA" w:eastAsia="en-US"/>
              </w:rPr>
              <w:t xml:space="preserve">концентрація 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IVD</w:t>
            </w:r>
          </w:p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 w:eastAsiaTheme="minorHAnsi"/>
                <w:lang w:val="uk-UA" w:eastAsia="en-US"/>
              </w:rPr>
              <w:t xml:space="preserve">(діагностика </w:t>
            </w:r>
            <w:r>
              <w:rPr>
                <w:rFonts w:ascii="Times New Roman" w:hAnsi="Times New Roman" w:cs="Times New Roman" w:eastAsiaTheme="minorHAnsi"/>
                <w:i/>
                <w:iCs/>
                <w:lang w:eastAsia="en-US"/>
              </w:rPr>
              <w:t>in</w:t>
            </w:r>
            <w:r>
              <w:rPr>
                <w:rFonts w:ascii="Times New Roman" w:hAnsi="Times New Roman" w:cs="Times New Roman" w:eastAsiaTheme="minorHAnsi"/>
                <w:i/>
                <w:iCs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i/>
                <w:iCs/>
                <w:lang w:eastAsia="en-US"/>
              </w:rPr>
              <w:t>vitro</w:t>
            </w:r>
            <w:r>
              <w:rPr>
                <w:rFonts w:ascii="Times New Roman" w:hAnsi="Times New Roman" w:cs="Times New Roman" w:eastAsiaTheme="minorHAnsi"/>
                <w:lang w:val="uk-UA" w:eastAsia="en-US"/>
              </w:rPr>
              <w:t>)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Диски</w:t>
            </w:r>
            <w:r>
              <w:rPr>
                <w:rFonts w:ascii="Times New Roman" w:hAnsi="Times New Roman" w:cs="Times New Roman"/>
                <w:lang w:val="uk-UA"/>
              </w:rPr>
              <w:t xml:space="preserve"> з г</w:t>
            </w:r>
            <w:r>
              <w:rPr>
                <w:rFonts w:ascii="Times New Roman" w:hAnsi="Times New Roman" w:cs="Times New Roman"/>
              </w:rPr>
              <w:t xml:space="preserve">атіфлоксацином 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мкг для визначення чутливості мікроорганізмів</w:t>
            </w:r>
            <w:r>
              <w:rPr>
                <w:rFonts w:ascii="Times New Roman" w:hAnsi="Times New Roman" w:cs="Times New Roman"/>
                <w:lang w:val="uk-UA"/>
              </w:rPr>
              <w:t>.1 флакон-100 дисків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Диски для визначення чутливості мікроорганізмів до лікарських засобів - Левофлоксацин ЛВФ 5 мкг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33698000-9 Вироби для клінічних досліджень/випробувань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59139-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lang w:val="uk-UA" w:eastAsia="en-US"/>
              </w:rPr>
              <w:t>Л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евофлоксацин, диски</w:t>
            </w:r>
            <w:r>
              <w:rPr>
                <w:rFonts w:ascii="Times New Roman" w:hAnsi="Times New Roman" w:cs="Times New Roman" w:eastAsiaTheme="minorHAnsi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для тестування начутливість IVD</w:t>
            </w:r>
          </w:p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(діагностика </w:t>
            </w:r>
            <w:r>
              <w:rPr>
                <w:rFonts w:ascii="Times New Roman" w:hAnsi="Times New Roman" w:cs="Times New Roman" w:eastAsiaTheme="minorHAnsi"/>
                <w:i/>
                <w:iCs/>
                <w:lang w:eastAsia="en-US"/>
              </w:rPr>
              <w:t>in vitro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)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Диски</w:t>
            </w:r>
            <w:r>
              <w:rPr>
                <w:rFonts w:ascii="Times New Roman" w:hAnsi="Times New Roman" w:cs="Times New Roman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</w:rPr>
              <w:t xml:space="preserve">левофлоксацином 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мкг для визначення чутливості мікроорганізмів</w:t>
            </w:r>
            <w:r>
              <w:rPr>
                <w:rFonts w:ascii="Times New Roman" w:hAnsi="Times New Roman" w:cs="Times New Roman"/>
                <w:lang w:val="uk-UA"/>
              </w:rPr>
              <w:t>.1 флакон-100 дисків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Диски для визначення чутливості мікроорганізмів до лікарських засобів - Лінезолід ЛНЗ 30 мкг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33698000-9 Вироби для клінічних досліджень/випробувань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59143-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 Лінезолід, диски для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тестування на чутливість</w:t>
            </w:r>
            <w:r>
              <w:rPr>
                <w:rFonts w:ascii="Times New Roman" w:hAnsi="Times New Roman" w:cs="Times New Roman" w:eastAsiaTheme="minorHAnsi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IVD (діагностика </w:t>
            </w:r>
            <w:r>
              <w:rPr>
                <w:rFonts w:ascii="Times New Roman" w:hAnsi="Times New Roman" w:cs="Times New Roman" w:eastAsiaTheme="minorHAnsi"/>
                <w:i/>
                <w:iCs/>
                <w:lang w:eastAsia="en-US"/>
              </w:rPr>
              <w:t>in vitro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)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</w:rPr>
              <w:t>Диски</w:t>
            </w:r>
            <w:r>
              <w:rPr>
                <w:rFonts w:ascii="Times New Roman" w:hAnsi="Times New Roman" w:cs="Times New Roman"/>
                <w:lang w:val="uk-UA"/>
              </w:rPr>
              <w:t xml:space="preserve"> з лінезолід</w:t>
            </w:r>
            <w:r>
              <w:rPr>
                <w:rFonts w:ascii="Times New Roman" w:hAnsi="Times New Roman" w:cs="Times New Roman"/>
              </w:rPr>
              <w:t xml:space="preserve">ом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</w:rPr>
              <w:t>0 мкг для визначення чутливості мікроорганізмів</w:t>
            </w:r>
            <w:r>
              <w:rPr>
                <w:rFonts w:ascii="Times New Roman" w:hAnsi="Times New Roman" w:cs="Times New Roman"/>
                <w:lang w:val="uk-UA"/>
              </w:rPr>
              <w:t>.1 флакон-100 дисків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Диски для визначення чутливості мікроорганізмів до лікарських засобів - Тайгециклін ТГК 15 мг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33698000-9 Вироби для клінічних досліджень/випробувань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45352-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 Диски/стрипи для</w:t>
            </w:r>
            <w:r>
              <w:rPr>
                <w:rFonts w:ascii="Times New Roman" w:hAnsi="Times New Roman" w:cs="Times New Roman" w:eastAsiaTheme="minorHAnsi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тестування на чутливість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мікроорганізмів до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множинних антибіотиків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IVD (діагностика </w:t>
            </w:r>
            <w:r>
              <w:rPr>
                <w:rFonts w:ascii="Times New Roman" w:hAnsi="Times New Roman" w:cs="Times New Roman" w:eastAsiaTheme="minorHAnsi"/>
                <w:i/>
                <w:iCs/>
                <w:lang w:eastAsia="en-US"/>
              </w:rPr>
              <w:t xml:space="preserve">in vitro 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),набір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 w:eastAsiaTheme="minorHAnsi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Диски</w:t>
            </w:r>
            <w:r>
              <w:rPr>
                <w:rFonts w:ascii="Times New Roman" w:hAnsi="Times New Roman" w:cs="Times New Roman"/>
                <w:lang w:val="uk-UA"/>
              </w:rPr>
              <w:t xml:space="preserve"> з тайгециклином 15 </w:t>
            </w:r>
            <w:r>
              <w:rPr>
                <w:rFonts w:ascii="Times New Roman" w:hAnsi="Times New Roman" w:cs="Times New Roman"/>
              </w:rPr>
              <w:t>мкг для визначення чутливості мікроорганізмів</w:t>
            </w:r>
            <w:r>
              <w:rPr>
                <w:rFonts w:ascii="Times New Roman" w:hAnsi="Times New Roman" w:cs="Times New Roman"/>
                <w:lang w:val="uk-UA"/>
              </w:rPr>
              <w:t>.1 флакон-100 дисків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Диски для визначення чутливості мікроорганізмів до лікарських засобів - Клотримазол КЛО 10 мкг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33698000-9 Вироби для клінічних досліджень/випробувань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62022-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 Клотримазол, диски для</w:t>
            </w:r>
            <w:r>
              <w:rPr>
                <w:rFonts w:ascii="Times New Roman" w:hAnsi="Times New Roman" w:cs="Times New Roman" w:eastAsiaTheme="minorHAnsi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тестування на чутливість</w:t>
            </w:r>
          </w:p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IVD (діагностика </w:t>
            </w:r>
            <w:r>
              <w:rPr>
                <w:rFonts w:ascii="Times New Roman" w:hAnsi="Times New Roman" w:cs="Times New Roman" w:eastAsiaTheme="minorHAnsi"/>
                <w:i/>
                <w:iCs/>
                <w:lang w:eastAsia="en-US"/>
              </w:rPr>
              <w:t xml:space="preserve">in vitro 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)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Диски</w:t>
            </w:r>
            <w:r>
              <w:rPr>
                <w:rFonts w:ascii="Times New Roman" w:hAnsi="Times New Roman" w:cs="Times New Roman"/>
                <w:lang w:val="uk-UA"/>
              </w:rPr>
              <w:t xml:space="preserve"> з к</w:t>
            </w:r>
            <w:r>
              <w:rPr>
                <w:rFonts w:ascii="Times New Roman" w:hAnsi="Times New Roman" w:cs="Times New Roman"/>
              </w:rPr>
              <w:t>лотримазол</w:t>
            </w:r>
            <w:r>
              <w:rPr>
                <w:rFonts w:ascii="Times New Roman" w:hAnsi="Times New Roman" w:cs="Times New Roman"/>
                <w:lang w:val="uk-UA"/>
              </w:rPr>
              <w:t>ом</w:t>
            </w:r>
            <w:r>
              <w:rPr>
                <w:rFonts w:ascii="Times New Roman" w:hAnsi="Times New Roman" w:cs="Times New Roman"/>
              </w:rPr>
              <w:t xml:space="preserve">  10</w:t>
            </w:r>
            <w:r>
              <w:rPr>
                <w:rFonts w:ascii="Times New Roman" w:hAnsi="Times New Roman" w:cs="Times New Roman"/>
                <w:lang w:val="uk-UA"/>
              </w:rPr>
              <w:t xml:space="preserve"> мкг</w:t>
            </w:r>
            <w:r>
              <w:rPr>
                <w:rFonts w:ascii="Times New Roman" w:hAnsi="Times New Roman" w:cs="Times New Roman"/>
              </w:rPr>
              <w:t xml:space="preserve"> для визначення чутливості мікроорганізмів</w:t>
            </w:r>
            <w:r>
              <w:rPr>
                <w:rFonts w:ascii="Times New Roman" w:hAnsi="Times New Roman" w:cs="Times New Roman"/>
                <w:lang w:val="uk-UA"/>
              </w:rPr>
              <w:t>.1 флакон-100 дисків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Диски для визначення чутливості мікроорганізмів до лікарських засобів - Амфотерицин-В АМФ 40 мкг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33698000-9 Вироби для клінічних досліджень/випробувань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62020-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 Амфотерицин В, диски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для тестування на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чутливість IVD</w:t>
            </w:r>
          </w:p>
          <w:p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(діагностика </w:t>
            </w:r>
            <w:r>
              <w:rPr>
                <w:rFonts w:ascii="Times New Roman" w:hAnsi="Times New Roman" w:cs="Times New Roman" w:eastAsiaTheme="minorHAnsi"/>
                <w:i/>
                <w:iCs/>
                <w:lang w:eastAsia="en-US"/>
              </w:rPr>
              <w:t>in vitro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)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Диски</w:t>
            </w:r>
            <w:r>
              <w:rPr>
                <w:rFonts w:ascii="Times New Roman" w:hAnsi="Times New Roman" w:cs="Times New Roman"/>
                <w:lang w:val="uk-UA"/>
              </w:rPr>
              <w:t xml:space="preserve"> з амфотерицином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</w:rPr>
              <w:t>0 мкг для визначення чутливості мікроорганізмів</w:t>
            </w:r>
            <w:r>
              <w:rPr>
                <w:rFonts w:ascii="Times New Roman" w:hAnsi="Times New Roman" w:cs="Times New Roman"/>
                <w:lang w:val="uk-UA"/>
              </w:rPr>
              <w:t>.1 флакон-100 дисків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Диски для визначення чутливості мікроорганізмів до лікарських засобів - Флуконазол ФЛУ 25 мкг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33698000-9 Вироби для клінічних досліджень/випробувань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42830-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Диски для тестування на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чутливість з флуконазолом,</w:t>
            </w:r>
          </w:p>
          <w:p>
            <w:pPr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IVD (діагностика </w:t>
            </w:r>
            <w:r>
              <w:rPr>
                <w:rFonts w:ascii="Times New Roman" w:hAnsi="Times New Roman" w:cs="Times New Roman" w:eastAsiaTheme="minorHAnsi"/>
                <w:i/>
                <w:iCs/>
                <w:lang w:eastAsia="en-US"/>
              </w:rPr>
              <w:t xml:space="preserve">in vitro 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)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Диски</w:t>
            </w:r>
            <w:r>
              <w:rPr>
                <w:rFonts w:ascii="Times New Roman" w:hAnsi="Times New Roman" w:cs="Times New Roman"/>
                <w:lang w:val="uk-UA"/>
              </w:rPr>
              <w:t xml:space="preserve"> з флуконазолом 25</w:t>
            </w:r>
            <w:r>
              <w:rPr>
                <w:rFonts w:ascii="Times New Roman" w:hAnsi="Times New Roman" w:cs="Times New Roman"/>
              </w:rPr>
              <w:t xml:space="preserve"> мкг для визначення чутливості мікроорганізмів</w:t>
            </w:r>
            <w:r>
              <w:rPr>
                <w:rFonts w:ascii="Times New Roman" w:hAnsi="Times New Roman" w:cs="Times New Roman"/>
                <w:lang w:val="uk-UA"/>
              </w:rPr>
              <w:t>.1 флакон-100 дисків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Диски для визначення чутливості мікроорганізмів до лікарських засобів - Ітраконазол ІТР 10 мкг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33698000-9 Вироби для клінічних досліджень/випробувань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DFEFD"/>
              </w:rPr>
              <w:t>42853 - Визначення мінімальної інгібувальної концентрації за допомогою ітраконазолу (МІК), IVD (діагностика in vitro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Диски</w:t>
            </w:r>
            <w:r>
              <w:rPr>
                <w:rFonts w:ascii="Times New Roman" w:hAnsi="Times New Roman" w:cs="Times New Roman"/>
                <w:lang w:val="uk-UA"/>
              </w:rPr>
              <w:t xml:space="preserve"> з і</w:t>
            </w:r>
            <w:r>
              <w:rPr>
                <w:rFonts w:ascii="Times New Roman" w:hAnsi="Times New Roman" w:cs="Times New Roman"/>
              </w:rPr>
              <w:t>траконазол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10 мкг для визначення чутливості мікроорганізмів</w:t>
            </w:r>
            <w:r>
              <w:rPr>
                <w:rFonts w:ascii="Times New Roman" w:hAnsi="Times New Roman" w:cs="Times New Roman"/>
                <w:lang w:val="uk-UA"/>
              </w:rPr>
              <w:t>.1 флакон-100 дисків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Диски для визначення чутливості мікроорганізмів до лікарських засобів - Нітрофурантоїн (Фурадонін) НФР  100 мкг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33698000-9 Вироби для клінічних досліджень/випробувань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59159-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 Нітрофурантоїн, диски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для тестування на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чутливість IVD</w:t>
            </w:r>
          </w:p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(діагностика </w:t>
            </w:r>
            <w:r>
              <w:rPr>
                <w:rFonts w:ascii="Times New Roman" w:hAnsi="Times New Roman" w:cs="Times New Roman" w:eastAsiaTheme="minorHAnsi"/>
                <w:i/>
                <w:iCs/>
                <w:lang w:eastAsia="en-US"/>
              </w:rPr>
              <w:t>in vitr</w:t>
            </w:r>
            <w:r>
              <w:rPr>
                <w:rFonts w:ascii="Times New Roman" w:hAnsi="Times New Roman" w:cs="Times New Roman" w:eastAsiaTheme="minorHAnsi"/>
                <w:i/>
                <w:iCs/>
                <w:lang w:val="en-US" w:eastAsia="en-US"/>
              </w:rPr>
              <w:t>o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)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adjustRightInd w:val="0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</w:rPr>
              <w:t>Диски</w:t>
            </w:r>
            <w:r>
              <w:rPr>
                <w:rFonts w:ascii="Times New Roman" w:hAnsi="Times New Roman" w:cs="Times New Roman"/>
                <w:lang w:val="uk-UA"/>
              </w:rPr>
              <w:t xml:space="preserve"> з н</w:t>
            </w:r>
            <w:r>
              <w:rPr>
                <w:rFonts w:ascii="Times New Roman" w:hAnsi="Times New Roman" w:cs="Times New Roman"/>
              </w:rPr>
              <w:t>ітрофурантоїном 10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мкг для визначення чутливості мікроорганізмів</w:t>
            </w:r>
            <w:r>
              <w:rPr>
                <w:rFonts w:ascii="Times New Roman" w:hAnsi="Times New Roman" w:cs="Times New Roman"/>
                <w:lang w:val="uk-UA"/>
              </w:rPr>
              <w:t>.1 флакон-100 дисків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Диски для визначення чутливості мікроорганізмів до лікарських засобів - Рифампіцин РИФ 5 мкг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33698000-9 Вироби для клінічних досліджень/випробувань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59183-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 Рифампіцин, диски для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тестування на чутливість</w:t>
            </w:r>
          </w:p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IVD (діагностика </w:t>
            </w:r>
            <w:r>
              <w:rPr>
                <w:rFonts w:ascii="Times New Roman" w:hAnsi="Times New Roman" w:cs="Times New Roman" w:eastAsiaTheme="minorHAnsi"/>
                <w:i/>
                <w:iCs/>
                <w:lang w:eastAsia="en-US"/>
              </w:rPr>
              <w:t xml:space="preserve">in vitro 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)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adjustRightInd w:val="0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</w:rPr>
              <w:t>Диски</w:t>
            </w:r>
            <w:r>
              <w:rPr>
                <w:rFonts w:ascii="Times New Roman" w:hAnsi="Times New Roman" w:cs="Times New Roman"/>
                <w:lang w:val="uk-UA"/>
              </w:rPr>
              <w:t xml:space="preserve"> з р</w:t>
            </w:r>
            <w:r>
              <w:rPr>
                <w:rFonts w:ascii="Times New Roman" w:hAnsi="Times New Roman" w:cs="Times New Roman"/>
              </w:rPr>
              <w:t>ифампіцин</w:t>
            </w:r>
            <w:r>
              <w:rPr>
                <w:rFonts w:ascii="Times New Roman" w:hAnsi="Times New Roman" w:cs="Times New Roman"/>
                <w:lang w:val="uk-UA"/>
              </w:rPr>
              <w:t>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мкг для визначення чутливості мікроорганізмів</w:t>
            </w:r>
            <w:r>
              <w:rPr>
                <w:rFonts w:ascii="Times New Roman" w:hAnsi="Times New Roman" w:cs="Times New Roman"/>
                <w:lang w:val="uk-UA"/>
              </w:rPr>
              <w:t>.1 флакон-100 дисків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Диски для визначення чутливості мікроорганізмів до лікарських засобів - Іміпенем/циластатин ІМП 10/10 мкг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33698000-9 Вироби для клінічних досліджень/випробувань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46169-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Диски іміпенему для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тестування на чутливість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IVD (діагностика </w:t>
            </w:r>
            <w:r>
              <w:rPr>
                <w:rFonts w:ascii="Times New Roman" w:hAnsi="Times New Roman" w:cs="Times New Roman" w:eastAsiaTheme="minorHAnsi"/>
                <w:i/>
                <w:iCs/>
                <w:sz w:val="22"/>
                <w:szCs w:val="22"/>
                <w:lang w:eastAsia="en-US"/>
              </w:rPr>
              <w:t xml:space="preserve">in vitro 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7" w:type="dxa"/>
          </w:tcPr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Диски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Іміпенем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/циластатин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ІМП 10/10 мкг для визначення чутливості мікроорганізмів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.1 флакон-100 дисків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флак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Реактив для теста Фенілаланін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33696500-0 – Лабораторні реактиви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50422-Множинні мікроорганізми, що не належать до родини ентеробактерій, ізольований штам IVD (діагностика in vitro ), реагент</w:t>
            </w:r>
          </w:p>
        </w:tc>
        <w:tc>
          <w:tcPr>
            <w:tcW w:w="3827" w:type="dxa"/>
          </w:tcPr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Набір Реактив для теста Фенілаланін є допоміжним реагентом для діагностичних наборів М</w:t>
            </w:r>
            <w:r>
              <w:rPr>
                <w:sz w:val="22"/>
                <w:szCs w:val="22"/>
              </w:rPr>
              <w:t>IKROLATEST</w:t>
            </w:r>
            <w:r>
              <w:rPr>
                <w:sz w:val="22"/>
                <w:szCs w:val="22"/>
                <w:lang w:val="uk-UA"/>
              </w:rPr>
              <w:t xml:space="preserve">®, які включають тест на визначення фенілаланіндеамінази (тест Фенілаланін, РНЕ), призначений для візуалізації кольорової реакції даного тесту. </w:t>
            </w:r>
            <w:r>
              <w:rPr>
                <w:sz w:val="22"/>
                <w:szCs w:val="22"/>
              </w:rPr>
              <w:t>Процедура застосування реагенту вказана в Інструкціях до відповідних наборів MIKROLATEST®. Склад набору Реактив для теста Фенілаланін: Реагент для PHE: 18 мл Інструкція-вкладення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паков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Реактив для теста Оксідаза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33696500-0 – Лабораторні реактиви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50422-Множинні мікроорганізми, що не належать до родини ентеробактерій, ізольований штам IVD (діагностика in vitro ), реагент</w:t>
            </w:r>
          </w:p>
        </w:tc>
        <w:tc>
          <w:tcPr>
            <w:tcW w:w="3827" w:type="dxa"/>
          </w:tcPr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Набір Реактив для теста Оксідаза є допоміжним реагентом для діагностичних смужок М</w:t>
            </w:r>
            <w:r>
              <w:rPr>
                <w:sz w:val="22"/>
                <w:szCs w:val="22"/>
              </w:rPr>
              <w:t>IKROLATEST</w:t>
            </w:r>
            <w:r>
              <w:rPr>
                <w:sz w:val="22"/>
                <w:szCs w:val="22"/>
                <w:lang w:val="uk-UA"/>
              </w:rPr>
              <w:t xml:space="preserve">® 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uk-UA"/>
              </w:rPr>
              <w:t xml:space="preserve">КСІтест, які призначені для виявлення бактеріальної цитохромоксидази. Реагент підвищує чутливість смужок ОКСІтест. Процедура застосування реагенту вказана в Інструкції до смужок </w:t>
            </w:r>
            <w:r>
              <w:rPr>
                <w:sz w:val="22"/>
                <w:szCs w:val="22"/>
              </w:rPr>
              <w:t>MIKROLATEST</w:t>
            </w:r>
            <w:r>
              <w:rPr>
                <w:sz w:val="22"/>
                <w:szCs w:val="22"/>
                <w:lang w:val="uk-UA"/>
              </w:rPr>
              <w:t xml:space="preserve">® 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uk-UA"/>
              </w:rPr>
              <w:t xml:space="preserve">КСІтест. </w:t>
            </w:r>
            <w:r>
              <w:rPr>
                <w:sz w:val="22"/>
                <w:szCs w:val="22"/>
              </w:rPr>
              <w:t>Принцип методу: Оптимізація рН реакції з підвищенням чутливості. Склад набору Реактив для теста Оксідаза: Реактив для теста Оксідаза 18 мл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паков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Реактив для теста Ацетоїн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33696500-0 – Лабораторні реактиви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50422-Множинні мікроорганізми, що не належать до родини ентеробактерій, ізольований штам IVD (діагностика in vitro ), реагент</w:t>
            </w:r>
          </w:p>
        </w:tc>
        <w:tc>
          <w:tcPr>
            <w:tcW w:w="3827" w:type="dxa"/>
          </w:tcPr>
          <w:p>
            <w:pPr>
              <w:pStyle w:val="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Набір Реактив для тесту 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uk-UA"/>
              </w:rPr>
              <w:t>цетоїн містить допоміжні реагенти для діагностичних наборів М</w:t>
            </w:r>
            <w:r>
              <w:rPr>
                <w:sz w:val="22"/>
                <w:szCs w:val="22"/>
              </w:rPr>
              <w:t>IKROLATEST</w:t>
            </w:r>
            <w:r>
              <w:rPr>
                <w:sz w:val="22"/>
                <w:szCs w:val="22"/>
                <w:lang w:val="uk-UA"/>
              </w:rPr>
              <w:t xml:space="preserve">®, в ході реакцій у яких відбувається формування ацетоїну (реакція Вогеса-Проскауера). </w:t>
            </w:r>
            <w:r>
              <w:rPr>
                <w:sz w:val="22"/>
                <w:szCs w:val="22"/>
              </w:rPr>
              <w:t>Процедура застосування набору вказана в Інструкціях до відповідних наборів MIKROLATEST®</w:t>
            </w:r>
          </w:p>
          <w:p>
            <w:pPr>
              <w:pStyle w:val="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Склад набору Реактив для тесту Aцетоїн: 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Реагент для VPT I – наважка 1,8 г Реагент для VPT I – розчинник 18 мл Реагент для VPT II 18 мл Крапельниця для VPT I 1 шт. Інструкція-вкладення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паков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Реактив для теста ПІР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33696500-0 – Лабораторні реактиви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50422-Множинні мікроорганізми, що не належать до родини ентеробактерій, ізольований штам IVD (діагностика in vitro ), реагент</w:t>
            </w:r>
          </w:p>
        </w:tc>
        <w:tc>
          <w:tcPr>
            <w:tcW w:w="3827" w:type="dxa"/>
          </w:tcPr>
          <w:p>
            <w:pPr>
              <w:pStyle w:val="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Реактив для теста ПІР є допоміжним реагентом для візуалізації кольорової реакції тесту на піролідоннілариламідазу (для діагностичних смужок </w:t>
            </w:r>
            <w:r>
              <w:rPr>
                <w:sz w:val="22"/>
                <w:szCs w:val="22"/>
              </w:rPr>
              <w:t>PYRAtest</w:t>
            </w:r>
            <w:r>
              <w:rPr>
                <w:sz w:val="22"/>
                <w:szCs w:val="22"/>
                <w:lang w:val="uk-UA"/>
              </w:rPr>
              <w:t xml:space="preserve"> і тестів </w:t>
            </w:r>
            <w:r>
              <w:rPr>
                <w:sz w:val="22"/>
                <w:szCs w:val="22"/>
              </w:rPr>
              <w:t>PYR</w:t>
            </w:r>
            <w:r>
              <w:rPr>
                <w:sz w:val="22"/>
                <w:szCs w:val="22"/>
                <w:lang w:val="uk-UA"/>
              </w:rPr>
              <w:t>, включених до складу діагностичних наборів М</w:t>
            </w:r>
            <w:r>
              <w:rPr>
                <w:sz w:val="22"/>
                <w:szCs w:val="22"/>
              </w:rPr>
              <w:t>IKROLATEST</w:t>
            </w:r>
            <w:r>
              <w:rPr>
                <w:sz w:val="22"/>
                <w:szCs w:val="22"/>
                <w:lang w:val="uk-UA"/>
              </w:rPr>
              <w:t xml:space="preserve">®). </w:t>
            </w:r>
            <w:r>
              <w:rPr>
                <w:sz w:val="22"/>
                <w:szCs w:val="22"/>
              </w:rPr>
              <w:t xml:space="preserve">Процедури застосування набору вказані в Інструкціях до відповідних наборів MIKROLATEST®. 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Склад набору Реактив для теста ПІР: Реактив для теста ПІР у флаконі-крапельниці 18 мл Інструкція-вкладення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паков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Реактив для теста Індол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33696500-0 – Лабораторні реактиви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43720-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Реагент індолу/Ковача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для мікробіологічного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тесту, IVD (діагностика </w:t>
            </w:r>
            <w:r>
              <w:rPr>
                <w:rFonts w:ascii="Times New Roman" w:hAnsi="Times New Roman" w:cs="Times New Roman" w:eastAsiaTheme="minorHAnsi"/>
                <w:i/>
                <w:iCs/>
                <w:lang w:eastAsia="en-US"/>
              </w:rPr>
              <w:t>in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 w:eastAsiaTheme="minorHAnsi"/>
                <w:i/>
                <w:iCs/>
                <w:sz w:val="22"/>
                <w:szCs w:val="22"/>
                <w:lang w:eastAsia="en-US"/>
              </w:rPr>
              <w:t xml:space="preserve">vitro 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7" w:type="dxa"/>
          </w:tcPr>
          <w:p>
            <w:pPr>
              <w:pStyle w:val="7"/>
              <w:widowControl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Набір Реактив для теста Індол є допоміжним реагентом для діагностичних наборів М</w:t>
            </w:r>
            <w:r>
              <w:rPr>
                <w:sz w:val="22"/>
                <w:szCs w:val="22"/>
              </w:rPr>
              <w:t>IKROLATEST</w:t>
            </w:r>
            <w:r>
              <w:rPr>
                <w:sz w:val="22"/>
                <w:szCs w:val="22"/>
                <w:lang w:val="uk-UA"/>
              </w:rPr>
              <w:t>®, які включають тест на вироблення індолу; призначений для візуалізації кольорової реакції даного тесту.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Склад набору Реактив для теста Індол: Реагент IND 18 мл Інструкція-вкладення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паков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Парафинова олія стерильна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33696500-0 – Лабораторні реактиви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57738-Парафінове заливальне середовище IVD (діагностика in vitro)</w:t>
            </w:r>
          </w:p>
        </w:tc>
        <w:tc>
          <w:tcPr>
            <w:tcW w:w="3827" w:type="dxa"/>
          </w:tcPr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Парафинова олія стерильна є доппоміжним реагентом для тестів у складі діагностичних наборів </w:t>
            </w:r>
            <w:r>
              <w:rPr>
                <w:sz w:val="22"/>
                <w:szCs w:val="22"/>
              </w:rPr>
              <w:t>MIKROLATEST</w:t>
            </w:r>
            <w:r>
              <w:rPr>
                <w:sz w:val="22"/>
                <w:szCs w:val="22"/>
                <w:lang w:val="uk-UA"/>
              </w:rPr>
              <w:t xml:space="preserve">®, у яких інкубація має відбуватися без доступу кисню. </w:t>
            </w:r>
            <w:r>
              <w:rPr>
                <w:sz w:val="22"/>
                <w:szCs w:val="22"/>
              </w:rPr>
              <w:t>Спосіб застосування парафинової олії стерильної вказаний в Інструкціях до наборів MIKROLATEST®. Парафінова олія стерильна 3</w:t>
            </w:r>
            <w:r>
              <w:rPr>
                <w:sz w:val="22"/>
                <w:szCs w:val="22"/>
                <w:lang w:val="uk-UA"/>
              </w:rPr>
              <w:t xml:space="preserve"> фл</w:t>
            </w:r>
            <w:r>
              <w:rPr>
                <w:sz w:val="22"/>
                <w:szCs w:val="22"/>
              </w:rPr>
              <w:t xml:space="preserve"> х 18</w:t>
            </w:r>
            <w:r>
              <w:rPr>
                <w:sz w:val="22"/>
                <w:szCs w:val="22"/>
                <w:lang w:val="uk-UA"/>
              </w:rPr>
              <w:t xml:space="preserve"> мл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паков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КАНДІДА-Скрін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33696500-0 – Лабораторні реактиви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51142-Множинні мікроорганізми мікобактерій, ізольований штам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(діагностика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vitro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), реагент</w:t>
            </w:r>
          </w:p>
        </w:tc>
        <w:tc>
          <w:tcPr>
            <w:tcW w:w="3827" w:type="dxa"/>
          </w:tcPr>
          <w:p>
            <w:pPr>
              <w:pStyle w:val="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Діагностичний набір КАНДІДА-Скрін призначений для ідентифікації найбільш розповсюджених у клінічному матеріалі патогенних грибків. Всі тести набору КАНДІДА-Скрін розміщені в лунках одного стрипу мікротитрувальних планшетів, на кожному з яких можливо провести ідентифікацію 12 культур. </w:t>
            </w:r>
          </w:p>
          <w:p>
            <w:pPr>
              <w:pStyle w:val="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Набір КАНДІДА-Скрін містить: </w:t>
            </w:r>
          </w:p>
          <w:p>
            <w:pPr>
              <w:pStyle w:val="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Стриповані мікротитрувальні планшети, 3 шт.</w:t>
            </w:r>
          </w:p>
          <w:p>
            <w:pPr>
              <w:pStyle w:val="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Інструкція користувача </w:t>
            </w:r>
          </w:p>
          <w:p>
            <w:pPr>
              <w:pStyle w:val="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3 поліетиленових пакетики для інкубації</w:t>
            </w:r>
          </w:p>
          <w:p>
            <w:pPr>
              <w:pStyle w:val="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 Пакет для зберігання частково використаного планшету</w:t>
            </w:r>
          </w:p>
          <w:p>
            <w:pPr>
              <w:pStyle w:val="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 Порівняльна шкала кольорів для набору КАНДІДА-Скрін 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• Бланки для реєстрації результатів • Кришка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паков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Диски з п</w:t>
            </w:r>
            <w:r>
              <w:rPr>
                <w:rFonts w:ascii="Times New Roman" w:hAnsi="Times New Roman" w:cs="Times New Roman"/>
              </w:rPr>
              <w:t>ефлоксацин</w:t>
            </w:r>
            <w:r>
              <w:rPr>
                <w:rFonts w:ascii="Times New Roman" w:hAnsi="Times New Roman" w:cs="Times New Roman"/>
                <w:lang w:val="uk-UA"/>
              </w:rPr>
              <w:t>ом</w:t>
            </w:r>
            <w:r>
              <w:rPr>
                <w:rFonts w:ascii="Times New Roman" w:hAnsi="Times New Roman" w:cs="Times New Roman"/>
              </w:rPr>
              <w:t xml:space="preserve"> (5 мкг)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33698000-9 Вироби для клінічних досліджень/випробувань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59174-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 Перфлоксацин, диски для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тестування на чутливістьIVD (діагностика </w:t>
            </w:r>
            <w:r>
              <w:rPr>
                <w:rFonts w:ascii="Times New Roman" w:hAnsi="Times New Roman" w:cs="Times New Roman" w:eastAsiaTheme="minorHAnsi"/>
                <w:i/>
                <w:iCs/>
                <w:lang w:eastAsia="en-US"/>
              </w:rPr>
              <w:t>in vitro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)</w:t>
            </w:r>
          </w:p>
        </w:tc>
        <w:tc>
          <w:tcPr>
            <w:tcW w:w="3827" w:type="dxa"/>
          </w:tcPr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Диски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 пефлоксацин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ом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мкг для визначення чутливості мікроорганізмів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.1 флакон-100 дисків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Диски з т</w:t>
            </w:r>
            <w:r>
              <w:rPr>
                <w:rFonts w:ascii="Times New Roman" w:hAnsi="Times New Roman" w:cs="Times New Roman"/>
              </w:rPr>
              <w:t>ріметопр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uk-UA"/>
              </w:rPr>
              <w:t>ом</w:t>
            </w:r>
            <w:r>
              <w:rPr>
                <w:rFonts w:ascii="Times New Roman" w:hAnsi="Times New Roman" w:cs="Times New Roman"/>
              </w:rPr>
              <w:t xml:space="preserve"> (5 мкг) SD039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33698000-9 Вироби для клінічних досліджень/випробувань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59211-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 Триметоприм, диски для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тестування на чутливість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IVD (діагностика </w:t>
            </w:r>
            <w:r>
              <w:rPr>
                <w:rFonts w:ascii="Times New Roman" w:hAnsi="Times New Roman" w:cs="Times New Roman" w:eastAsiaTheme="minorHAnsi"/>
                <w:i/>
                <w:iCs/>
                <w:sz w:val="22"/>
                <w:szCs w:val="22"/>
                <w:lang w:eastAsia="en-US"/>
              </w:rPr>
              <w:t xml:space="preserve">in vitro 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7" w:type="dxa"/>
            <w:vAlign w:val="center"/>
          </w:tcPr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Диски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 тріметроприм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ом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мкг для визначення чутливості мікроорганізмів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.1 флакон-100 дисків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Диски для визначення чутливості мікроорганізмів до лікарських засобів - Ертапенем  ЕРП 10 мкг</w:t>
            </w:r>
          </w:p>
          <w:p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33698000-9 Вироби для клінічних досліджень/випробувань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31857-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 Ертапенем-диски длятестування на чутливістьIVD (діагностика </w:t>
            </w:r>
            <w:r>
              <w:rPr>
                <w:rFonts w:ascii="Times New Roman" w:hAnsi="Times New Roman" w:cs="Times New Roman" w:eastAsiaTheme="minorHAnsi"/>
                <w:i/>
                <w:iCs/>
                <w:lang w:eastAsia="en-US"/>
              </w:rPr>
              <w:t>in vitro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)</w:t>
            </w:r>
          </w:p>
        </w:tc>
        <w:tc>
          <w:tcPr>
            <w:tcW w:w="3827" w:type="dxa"/>
            <w:vAlign w:val="center"/>
          </w:tcPr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Диски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 ертапінем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 10 мкг для визначення чутливості мікроорганізмів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.1 флакон-50 дисків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Диски з н</w:t>
            </w:r>
            <w:r>
              <w:rPr>
                <w:rFonts w:ascii="Times New Roman" w:hAnsi="Times New Roman" w:cs="Times New Roman"/>
              </w:rPr>
              <w:t>еоміцин</w:t>
            </w:r>
            <w:r>
              <w:rPr>
                <w:rFonts w:ascii="Times New Roman" w:hAnsi="Times New Roman" w:cs="Times New Roman"/>
                <w:lang w:val="uk-UA"/>
              </w:rPr>
              <w:t>ом</w:t>
            </w:r>
            <w:r>
              <w:rPr>
                <w:rFonts w:ascii="Times New Roman" w:hAnsi="Times New Roman" w:cs="Times New Roman"/>
              </w:rPr>
              <w:t xml:space="preserve"> (30 мкг)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33698000-9 Вироби для клінічних досліджень/випробувань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59157-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 Неоміцину сульфат, диски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для тестування на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чутливість IVD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 xml:space="preserve">(діагностика </w:t>
            </w:r>
            <w:r>
              <w:rPr>
                <w:rFonts w:ascii="Times New Roman" w:hAnsi="Times New Roman" w:cs="Times New Roman" w:eastAsiaTheme="minorHAnsi"/>
                <w:i/>
                <w:iCs/>
                <w:sz w:val="22"/>
                <w:szCs w:val="22"/>
                <w:lang w:eastAsia="en-US"/>
              </w:rPr>
              <w:t>in vitro</w:t>
            </w: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7" w:type="dxa"/>
            <w:vAlign w:val="center"/>
          </w:tcPr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Диски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 неоміцин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ом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 мкг для визначення чутливості мікроорганізмів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.1 флакон-100 дисків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Диски з т</w:t>
            </w:r>
            <w:r>
              <w:rPr>
                <w:rFonts w:ascii="Times New Roman" w:hAnsi="Times New Roman" w:cs="Times New Roman"/>
              </w:rPr>
              <w:t>ілозін</w:t>
            </w:r>
            <w:r>
              <w:rPr>
                <w:rFonts w:ascii="Times New Roman" w:hAnsi="Times New Roman" w:cs="Times New Roman"/>
                <w:lang w:val="uk-UA"/>
              </w:rPr>
              <w:t>ом</w:t>
            </w:r>
            <w:r>
              <w:rPr>
                <w:rFonts w:ascii="Times New Roman" w:hAnsi="Times New Roman" w:cs="Times New Roman"/>
              </w:rPr>
              <w:t xml:space="preserve"> (15 мкг)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33698000-9 Вироби для клінічних досліджень/випробувань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45352-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 Диски/стрипи для</w:t>
            </w:r>
            <w:r>
              <w:rPr>
                <w:rFonts w:ascii="Times New Roman" w:hAnsi="Times New Roman" w:cs="Times New Roman" w:eastAsiaTheme="minorHAnsi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тестування на чутливість</w:t>
            </w:r>
            <w:r>
              <w:rPr>
                <w:rFonts w:ascii="Times New Roman" w:hAnsi="Times New Roman" w:cs="Times New Roman" w:eastAsiaTheme="minorHAnsi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мікроорганізмів до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множинних антибіотиків</w:t>
            </w:r>
            <w:r>
              <w:rPr>
                <w:rFonts w:ascii="Times New Roman" w:hAnsi="Times New Roman" w:cs="Times New Roman" w:eastAsiaTheme="minorHAnsi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IVD (діагностика </w:t>
            </w:r>
            <w:r>
              <w:rPr>
                <w:rFonts w:ascii="Times New Roman" w:hAnsi="Times New Roman" w:cs="Times New Roman" w:eastAsiaTheme="minorHAnsi"/>
                <w:i/>
                <w:iCs/>
                <w:lang w:eastAsia="en-US"/>
              </w:rPr>
              <w:t>in vitro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),набір</w:t>
            </w:r>
          </w:p>
        </w:tc>
        <w:tc>
          <w:tcPr>
            <w:tcW w:w="3827" w:type="dxa"/>
            <w:vAlign w:val="center"/>
          </w:tcPr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Диски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 тілозіном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мкг для визначення чутливості мікроорганізмів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.1 флакон-100 дисків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Реагент</w:t>
            </w:r>
            <w:r>
              <w:rPr>
                <w:rFonts w:ascii="Times New Roman" w:hAnsi="Times New Roman" w:cs="Times New Roman"/>
                <w:lang w:val="en-US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en-US"/>
              </w:rPr>
              <w:t xml:space="preserve">-53 Probe Cleanser"50 </w:t>
            </w:r>
            <w:r>
              <w:rPr>
                <w:rFonts w:ascii="Times New Roman" w:hAnsi="Times New Roman" w:cs="Times New Roman"/>
              </w:rPr>
              <w:t>мл</w:t>
            </w:r>
          </w:p>
          <w:p>
            <w:pPr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33696500-0 – Лабораторні реактиви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59058 Мийний/очищувальний розчин IVD (діагностика in vitro) для автоматизованих/ напівавтоматизованих сис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емах</w:t>
            </w:r>
          </w:p>
        </w:tc>
        <w:tc>
          <w:tcPr>
            <w:tcW w:w="3827" w:type="dxa"/>
          </w:tcPr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Мийний/очищувальний розчин.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АКТИВНІ ІНГРЕДІЄНТИ: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 Поверхнево - активні речовини &lt; 2,0 г/л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 Гіпохлорид натрію &lt; 100,0 г/л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 Гідроксид натрію &lt; 100,0 г/л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паков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Тест-система ліпідограма (TC/TG/HDL-C/LDL-C)(12600163)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33696500-0 – Лабораторні реактиви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53357 Множинні ліпідні аналіти IVD (діагностика in vitro ), реагент</w:t>
            </w:r>
          </w:p>
        </w:tc>
        <w:tc>
          <w:tcPr>
            <w:tcW w:w="3827" w:type="dxa"/>
            <w:vAlign w:val="bottom"/>
          </w:tcPr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Витратні матеріали до портативного автоматичного мультифункціонального аналізатора iCARE-2100 виробницта Sinocare Inc.; тест-система повинна бути сумісна з аналізатором моделі iCARE-2100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паков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Тест-система печінкова панель (ALT/AST/TB/ALB)(12600159)</w:t>
            </w:r>
          </w:p>
          <w:p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33696500-0 – Лабораторні реактиви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52904 Множинні ферменти клінічної хімії IVD (діагностика in vitro ), реагент</w:t>
            </w:r>
          </w:p>
        </w:tc>
        <w:tc>
          <w:tcPr>
            <w:tcW w:w="3827" w:type="dxa"/>
            <w:vAlign w:val="bottom"/>
          </w:tcPr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Витратні матеріали до портативного автоматичного мультифункціонального аналізатора iCARE-2100 виробницта Sinocare Inc.; тест-система повинна бути сумісна з аналізатором моделі iCARE-2100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паков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Тест-система ниркова панель (Usea/Crea/UA)(12600161)</w:t>
            </w:r>
          </w:p>
          <w:p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33696500-0 – Лабораторні реактиви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GoBack"/>
            <w:r>
              <w:rPr>
                <w:rFonts w:ascii="Times New Roman" w:hAnsi="Times New Roman" w:cs="Times New Roman"/>
                <w:sz w:val="22"/>
                <w:szCs w:val="22"/>
              </w:rPr>
              <w:t>52904</w:t>
            </w:r>
            <w:bookmarkEnd w:id="1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Множинні ферменти клінічної хімії IVD (діагностика in vitro ), реагент</w:t>
            </w:r>
          </w:p>
        </w:tc>
        <w:tc>
          <w:tcPr>
            <w:tcW w:w="3827" w:type="dxa"/>
            <w:vAlign w:val="bottom"/>
          </w:tcPr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Витратні матеріали до портативного автоматичного мультифункціонального аналізатора iCARE-2100 виробницта Sinocare Inc.; тест-система повинна бути сумісна з аналізатором моделі iCARE-2100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паков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Тест-система коагулограмма (APTT/PT/INR/TT/FIB)(12600167)</w:t>
            </w:r>
          </w:p>
          <w:p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33696500-0 – Лабораторні реактиви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55996 Численні чинники зсідання IVD (діагностика in vitro ), набір, аналіз утворення згустку</w:t>
            </w:r>
          </w:p>
        </w:tc>
        <w:tc>
          <w:tcPr>
            <w:tcW w:w="3827" w:type="dxa"/>
            <w:vAlign w:val="bottom"/>
          </w:tcPr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Витратні матеріали до портативного автоматичного мультифункціонального аналізатора iCARE-2100 виробницта Sinocare Inc.; тест-система повинна бути сумісна з аналізатором моделі iCARE-2100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паков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Лактат СпЛ 50</w:t>
            </w:r>
          </w:p>
          <w:p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33696500-0 – Лабораторні реактиви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53342 -Лактат IVD (діагностика in vitro ), набір, ферментний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спектрофотометричний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аналіз</w:t>
            </w:r>
          </w:p>
        </w:tc>
        <w:tc>
          <w:tcPr>
            <w:tcW w:w="3827" w:type="dxa"/>
          </w:tcPr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Аналіз за визначенням концентрації лактату в крові проводять для виявлення порушень кровообігу, гіпоксії (дефіциту кисню в тканинах) і ацидозу при серцевій недостатності та цукровому діабеті. При вираженій гіпоксії, порушення енергетичного обміну в крові накопичується надмірна кількість лактату, що призводить до зміни рН крові в кислу сторону (розвивається лактатацидоз). 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Склад набору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Реагент 1. Буфер. PIPES рН 7.5 - 50  mmol/l (ммоль/л), 4-хлорфенол - 4 mmol/l (ммоль/л).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Реагент 2. Ензими. Лактат оксидаза - 800  U/l (Од/л), пероксидаза – 2000 U/l (Од/л), 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4-амінофеназон - 0,4 mmol/l (ммоль/л).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Стандарт. Водний розчин лактату – 1.123 mmol/l (ммоль/л).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Інструкція з використання.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Паспорт або сертифікат.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Аналітичні характеристики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Лінійність вимірювального діапазону: 0.1 – 13.3 mmol/l (ммоль/л). 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Відхилення від лінійності не перевищує 5%. 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Якщо отримані результати були більше, ніж межі лінійності, розведіть  зразки 1:1 (в два рази)           NaCl 9 g/l (г/л) та помножте результат на два.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Чутливість не менш 0.1 mmol/l (ммоль/л).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Коефіцієнт варіації результатів визначень – не більш  5%.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Фасування: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Р1: 1 х 50 ml (мл)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Р2: 1 х 5 фл.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Стандарт: 1 х 1 ml (мл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паков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114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Лактатдегідрогеназа-кін.СпЛ (ЛДГ-кін.СпЛ) 100</w:t>
            </w:r>
          </w:p>
          <w:p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33696500-0 – Лабораторні реактиви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53072-Загальна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лактатдегідрогеназа IVD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(діагностика in vitro),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набір, ферментний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спектрофотометричний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аналіз</w:t>
            </w:r>
          </w:p>
        </w:tc>
        <w:tc>
          <w:tcPr>
            <w:tcW w:w="3827" w:type="dxa"/>
            <w:vAlign w:val="bottom"/>
          </w:tcPr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ідвищений рівень  ферменту  відзначається в  сироватці  крові  при  інфаркті міокарда, хворобах печінки, лейкозах, захворюваннях нирок, м'язовій дистрофії  і анемії, пухлинах, панкреатиті.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Склад набору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 Реагент 1. Буфер: імідазол - 65 mmol/l (ммоль/л); піруват - 0.6 mmol/l (ммоль/л).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 Реагент 2. Субстрат: NADH - 0.18 mmol/l (ммоль/л).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 Інструкція з використання.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 Паспорт або сертифікат.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Аналітичні характеристики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1. Лінійність вимірювального діапазону: 30 - 1300 U/l (Од/л). 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Відхилення від лінійності не перевищує 5 %. Якщо отримані результати були більше, ніж межі лінійності, розведіть зразки 1:9 (в десять разів)  NaCl 9 g/l (г/л) та помножте результат на 10. 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 Чутливість не менш  30 U/l (Од/л).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 Коефіцієнт варіації результатів визначень – не більш 5%. Фасування: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Р1: 1 фл. х 240 ml (мл)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Р2: 1 фл. х 60 ml (мл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паков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115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Плазма кроляча цитратна суха 1 мл амп. №10</w:t>
            </w:r>
          </w:p>
          <w:p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33696500-0 – Лабораторні реактиви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widowControl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eastAsia="en-US"/>
              </w:rPr>
              <w:t>30656-Набір реагентів для ідентифікації стафілококів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Діагностичний засіб in vitro. Являє собою ліофілізованиу плазму кролячу цитратную. Застосовується при видовій ідентифікації стафилоккоків в реакції плазмокоагуляції.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116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Тест-набір імунохроматографічний для визначення глікозилірованого гемоглобіну (HbA1c 1kt)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33696500-0 – Лабораторні реактиви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61010-</w:t>
            </w:r>
            <w:r>
              <w:rPr>
                <w:rFonts w:ascii="Times New Roman" w:hAnsi="Times New Roman" w:cs="Times New Roman" w:eastAsiaTheme="minorHAnsi"/>
                <w:lang w:val="uk-UA" w:eastAsia="en-US"/>
              </w:rPr>
              <w:t>Глікозильований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val="uk-UA" w:eastAsia="en-US"/>
              </w:rPr>
            </w:pPr>
            <w:r>
              <w:rPr>
                <w:rFonts w:ascii="Times New Roman" w:hAnsi="Times New Roman" w:cs="Times New Roman" w:eastAsiaTheme="minorHAnsi"/>
                <w:lang w:val="uk-UA" w:eastAsia="en-US"/>
              </w:rPr>
              <w:t>гемоглобін (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HbA</w:t>
            </w:r>
            <w:r>
              <w:rPr>
                <w:rFonts w:ascii="Times New Roman" w:hAnsi="Times New Roman" w:cs="Times New Roman" w:eastAsiaTheme="minorHAnsi"/>
                <w:lang w:val="uk-UA" w:eastAsia="en-US"/>
              </w:rPr>
              <w:t>1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c</w:t>
            </w:r>
            <w:r>
              <w:rPr>
                <w:rFonts w:ascii="Times New Roman" w:hAnsi="Times New Roman" w:cs="Times New Roman" w:eastAsiaTheme="minorHAnsi"/>
                <w:lang w:val="uk-UA" w:eastAsia="en-US"/>
              </w:rPr>
              <w:t xml:space="preserve">) 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IVD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 w:eastAsiaTheme="minorHAnsi"/>
                <w:lang w:val="uk-UA" w:eastAsia="en-US"/>
              </w:rPr>
            </w:pPr>
            <w:r>
              <w:rPr>
                <w:rFonts w:ascii="Times New Roman" w:hAnsi="Times New Roman" w:cs="Times New Roman" w:eastAsiaTheme="minorHAnsi"/>
                <w:lang w:val="uk-UA" w:eastAsia="en-US"/>
              </w:rPr>
              <w:t xml:space="preserve">(діагностика </w:t>
            </w:r>
            <w:r>
              <w:rPr>
                <w:rFonts w:ascii="Times New Roman" w:hAnsi="Times New Roman" w:cs="Times New Roman" w:eastAsiaTheme="minorHAnsi"/>
                <w:i/>
                <w:iCs/>
                <w:lang w:eastAsia="en-US"/>
              </w:rPr>
              <w:t>in</w:t>
            </w:r>
            <w:r>
              <w:rPr>
                <w:rFonts w:ascii="Times New Roman" w:hAnsi="Times New Roman" w:cs="Times New Roman" w:eastAsiaTheme="minorHAnsi"/>
                <w:i/>
                <w:iCs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i/>
                <w:iCs/>
                <w:lang w:eastAsia="en-US"/>
              </w:rPr>
              <w:t>vitro</w:t>
            </w:r>
            <w:r>
              <w:rPr>
                <w:rFonts w:ascii="Times New Roman" w:hAnsi="Times New Roman" w:cs="Times New Roman" w:eastAsiaTheme="minorHAnsi"/>
                <w:lang w:val="uk-UA" w:eastAsia="en-US"/>
              </w:rPr>
              <w:t>),</w:t>
            </w:r>
          </w:p>
          <w:p>
            <w:pPr>
              <w:widowControl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 w:eastAsiaTheme="minorHAnsi"/>
                <w:lang w:eastAsia="en-US"/>
              </w:rPr>
              <w:t>набір,</w:t>
            </w:r>
            <w:r>
              <w:rPr>
                <w:rFonts w:ascii="Times New Roman" w:hAnsi="Times New Roman" w:cs="Times New Roman" w:eastAsiaTheme="minorHAnsi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імунохемілюмінесцентний</w:t>
            </w:r>
            <w:r>
              <w:rPr>
                <w:rFonts w:ascii="Times New Roman" w:hAnsi="Times New Roman" w:cs="Times New Roman" w:eastAsiaTheme="minorHAnsi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>аналіз</w:t>
            </w:r>
          </w:p>
        </w:tc>
        <w:tc>
          <w:tcPr>
            <w:tcW w:w="3827" w:type="dxa"/>
          </w:tcPr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Імунохроматографічний експрес-тест (набір) призначений для якісного виявлення </w:t>
            </w:r>
            <w:r>
              <w:rPr>
                <w:rFonts w:ascii="Times New Roman" w:hAnsi="Times New Roman" w:cs="Times New Roman"/>
                <w:lang w:val="uk-UA"/>
              </w:rPr>
              <w:t xml:space="preserve">глікозилірованого гемоглобіну </w:t>
            </w:r>
            <w:r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 сироватці, плазмі або цільної крові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набір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117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Глікозильований гемоглобін СпЛ 100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33696500-0 – Лабораторні реактиви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59090-Глікозильований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гемоглобін (HbA1c) IVD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(діагностика in vitro),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набір, нефелометричний/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турбідиметричним аналіз</w:t>
            </w:r>
          </w:p>
        </w:tc>
        <w:tc>
          <w:tcPr>
            <w:tcW w:w="3827" w:type="dxa"/>
          </w:tcPr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 методі використовуються мічені антитіла і антигени для прямого визначення процентного вмісту HbА1С в цільної крові. Визначення грунтується на конкурентному зв'язуванні загального гемоглобіну і HbА1С зі специфічними латексними частинками пропорційно їх концентрації. Моноклональні антитіла до HbА1С людини, перехресно мічені козячими антитілами до IgG миші, специфічно взаємодіють з HbА1С з розвитком аглютинації латексних частинок. Ступінь аглютинації залежить від кількості пов'язаного HbА1С. Збільшення мутності суміші вимірюється на фотометрі. Значення HbА1С % в пробах обчислюється за калібрувальною залежносттю, встановленою при вимірюванні калібраторів.. 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Склад набору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Реагент 1. Латексна суспензія 13%. Буфер, стабілізатор.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Реагент 2. Мишачі антилюдські моноклональні антитіла – 0.05 mg/ml (мг/мл). Поліклональні козячі антитіла до IgG миші – 0.8 mg/l (мг/л).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Реагент 3. Гемолітичний реагент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Інструкція з використання.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Паспорт або сертифікат..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Аналітичні характеристики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Лінійність вимірювального діапазону: 2-15%. Відхилення від лінійності не перевищує 5%. 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Чутливість не менш 2%.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Коефіцієнт варіації результатів визначень – не більш 5%.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Фасцвання: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Р1: 5 х 7.5 ml (мл)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Р2: 5 х 2.5 ml (мл)</w:t>
            </w:r>
          </w:p>
          <w:p>
            <w:pPr>
              <w:pStyle w:val="7"/>
              <w:widowControl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Р3: 5  х 20 ml (мл)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паков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>
      <w:pPr>
        <w:rPr>
          <w:rFonts w:ascii="Times New Roman" w:hAnsi="Times New Roman" w:cs="Times New Roman"/>
          <w:b/>
          <w:sz w:val="22"/>
          <w:szCs w:val="22"/>
          <w:lang w:val="uk-UA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Додати документи (або їх завірені копії), що передбачені чинним законодавством України та дозволяють продаж, постачання і використання реактивів та контрастних речовин, а саме: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1. З метою запобігання закупівлі фальсифікатів та отримання гарантій на своєчасне постачання товару у кількості та якості, яких вимагає ця документація, надати скановані оригінали гарантійних листів виробників або їх офіційних представників (якщо їх повноваження поширюються на територію </w:t>
      </w:r>
      <w:r>
        <w:rPr>
          <w:rFonts w:hint="default" w:ascii="Times New Roman" w:hAnsi="Times New Roman" w:cs="Times New Roman"/>
          <w:sz w:val="24"/>
          <w:szCs w:val="24"/>
        </w:rPr>
        <w:t xml:space="preserve">України), якими підтверджується те, що Учасник має можливість поставки запропонованого товару для потреб Замовника у відповідній до вимог цієї документації, кількості, якості та у встановлені терміни. Гарантійний лист повинен містити посилання на повну назву учасника, номер оголошення закупівлі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на офіційному сайті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"http://prozorro.gov.ua/"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16"/>
          <w:rFonts w:hint="default" w:ascii="Times New Roman" w:hAnsi="Times New Roman" w:cs="Times New Roman"/>
          <w:sz w:val="24"/>
          <w:szCs w:val="24"/>
        </w:rPr>
        <w:t>http://prozorro.gov.ua/</w:t>
      </w:r>
      <w:r>
        <w:rPr>
          <w:rStyle w:val="16"/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При поставці товару надати інструкції з використання реактивів.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Термін придатності на момент поставки повинен бути не менше 80%.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Кожна партія товару має супроводжуватись документами, що підтверджують їх якість (сертифікат якості, посвідчення якості тощо) із зазначенням даних, що вимагаються чинним законодавством України.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 Постачальник самостійно та за свій рахунок проводить доставку до місць використання товару.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 Вироби повинні бути 202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 xml:space="preserve"> - 20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24</w:t>
      </w:r>
      <w:r>
        <w:rPr>
          <w:rFonts w:hint="default" w:ascii="Times New Roman" w:hAnsi="Times New Roman" w:cs="Times New Roman"/>
          <w:sz w:val="24"/>
          <w:szCs w:val="24"/>
        </w:rPr>
        <w:t xml:space="preserve"> року виготовлення.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7.В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пропозицію додати 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>гарантійний лист від Учасника, яким він підтверджує постачання товарів в необхідній кількості, відповідної якості та в потрібний термін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  <w:lang w:val="ru-RU"/>
        </w:rPr>
        <w:t>.</w:t>
      </w:r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CC"/>
    <w:family w:val="script"/>
    <w:pitch w:val="default"/>
    <w:sig w:usb0="00000287" w:usb1="00000013" w:usb2="00000000" w:usb3="00000000" w:csb0="2000009F" w:csb1="00000000"/>
  </w:font>
  <w:font w:name="Symbole Hu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eSans B4 Semi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eSans B7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 Schoolbook">
    <w:altName w:val="Century"/>
    <w:panose1 w:val="02040604050505020304"/>
    <w:charset w:val="CC"/>
    <w:family w:val="roman"/>
    <w:pitch w:val="default"/>
    <w:sig w:usb0="00000000" w:usb1="00000000" w:usb2="00000000" w:usb3="00000000" w:csb0="0000009F" w:csb1="00000000"/>
  </w:font>
  <w:font w:name="Book Antiqua">
    <w:panose1 w:val="02040602050305030304"/>
    <w:charset w:val="CC"/>
    <w:family w:val="roman"/>
    <w:pitch w:val="default"/>
    <w:sig w:usb0="00000287" w:usb1="00000000" w:usb2="00000000" w:usb3="00000000" w:csb0="2000009F" w:csb1="DFD7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E33E39"/>
    <w:multiLevelType w:val="singleLevel"/>
    <w:tmpl w:val="E8E33E3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hideSpellingErrors/>
  <w:documentProtection w:enforcement="0"/>
  <w:defaultTabStop w:val="708"/>
  <w:hyphenationZone w:val="425"/>
  <w:drawingGridHorizontalSpacing w:val="1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66"/>
    <w:rsid w:val="000057CB"/>
    <w:rsid w:val="00006035"/>
    <w:rsid w:val="0001676A"/>
    <w:rsid w:val="000167B2"/>
    <w:rsid w:val="0001778C"/>
    <w:rsid w:val="000223B1"/>
    <w:rsid w:val="00022548"/>
    <w:rsid w:val="00024053"/>
    <w:rsid w:val="00026169"/>
    <w:rsid w:val="00026E57"/>
    <w:rsid w:val="00027082"/>
    <w:rsid w:val="000332C3"/>
    <w:rsid w:val="000337A6"/>
    <w:rsid w:val="00034ED1"/>
    <w:rsid w:val="00037162"/>
    <w:rsid w:val="00040679"/>
    <w:rsid w:val="000422DA"/>
    <w:rsid w:val="00043493"/>
    <w:rsid w:val="00046E49"/>
    <w:rsid w:val="0004772C"/>
    <w:rsid w:val="00050890"/>
    <w:rsid w:val="00050C91"/>
    <w:rsid w:val="000521D3"/>
    <w:rsid w:val="00053D11"/>
    <w:rsid w:val="00053E4B"/>
    <w:rsid w:val="000549DD"/>
    <w:rsid w:val="00057F9D"/>
    <w:rsid w:val="00061CA0"/>
    <w:rsid w:val="00067D0B"/>
    <w:rsid w:val="000730FE"/>
    <w:rsid w:val="00073487"/>
    <w:rsid w:val="0007450F"/>
    <w:rsid w:val="00074B8D"/>
    <w:rsid w:val="00085496"/>
    <w:rsid w:val="00086041"/>
    <w:rsid w:val="00087486"/>
    <w:rsid w:val="00090706"/>
    <w:rsid w:val="00091040"/>
    <w:rsid w:val="0009384D"/>
    <w:rsid w:val="000947CB"/>
    <w:rsid w:val="00097B51"/>
    <w:rsid w:val="000A5C89"/>
    <w:rsid w:val="000A604A"/>
    <w:rsid w:val="000B027F"/>
    <w:rsid w:val="000B1942"/>
    <w:rsid w:val="000B254C"/>
    <w:rsid w:val="000B3565"/>
    <w:rsid w:val="000B430A"/>
    <w:rsid w:val="000B58F7"/>
    <w:rsid w:val="000B6588"/>
    <w:rsid w:val="000B6DDF"/>
    <w:rsid w:val="000B73DE"/>
    <w:rsid w:val="000C1BB6"/>
    <w:rsid w:val="000C1C01"/>
    <w:rsid w:val="000C4E98"/>
    <w:rsid w:val="000C63EC"/>
    <w:rsid w:val="000D05E1"/>
    <w:rsid w:val="000D405F"/>
    <w:rsid w:val="000D483E"/>
    <w:rsid w:val="000D4CBD"/>
    <w:rsid w:val="000D5D3E"/>
    <w:rsid w:val="000E14A6"/>
    <w:rsid w:val="000E169B"/>
    <w:rsid w:val="000E26BE"/>
    <w:rsid w:val="000E543F"/>
    <w:rsid w:val="000E5491"/>
    <w:rsid w:val="000E65B7"/>
    <w:rsid w:val="000F2416"/>
    <w:rsid w:val="000F2DD4"/>
    <w:rsid w:val="000F691C"/>
    <w:rsid w:val="000F71FD"/>
    <w:rsid w:val="0010186E"/>
    <w:rsid w:val="00103AEE"/>
    <w:rsid w:val="00103B81"/>
    <w:rsid w:val="00110671"/>
    <w:rsid w:val="00112A0B"/>
    <w:rsid w:val="00113615"/>
    <w:rsid w:val="00117CDB"/>
    <w:rsid w:val="001224AA"/>
    <w:rsid w:val="0012253A"/>
    <w:rsid w:val="00127C47"/>
    <w:rsid w:val="00132790"/>
    <w:rsid w:val="0013541A"/>
    <w:rsid w:val="00136AAD"/>
    <w:rsid w:val="00137571"/>
    <w:rsid w:val="0014062E"/>
    <w:rsid w:val="00141272"/>
    <w:rsid w:val="00144335"/>
    <w:rsid w:val="00144582"/>
    <w:rsid w:val="00145CB8"/>
    <w:rsid w:val="001466DA"/>
    <w:rsid w:val="00150B9D"/>
    <w:rsid w:val="001535B4"/>
    <w:rsid w:val="00154414"/>
    <w:rsid w:val="00154F6B"/>
    <w:rsid w:val="001556D6"/>
    <w:rsid w:val="001560F2"/>
    <w:rsid w:val="00157126"/>
    <w:rsid w:val="00171A7B"/>
    <w:rsid w:val="00173806"/>
    <w:rsid w:val="00174162"/>
    <w:rsid w:val="001745A1"/>
    <w:rsid w:val="0017552C"/>
    <w:rsid w:val="001760D7"/>
    <w:rsid w:val="00177592"/>
    <w:rsid w:val="00177A58"/>
    <w:rsid w:val="00181ED3"/>
    <w:rsid w:val="001847A7"/>
    <w:rsid w:val="00184DE4"/>
    <w:rsid w:val="00185253"/>
    <w:rsid w:val="00186BCF"/>
    <w:rsid w:val="0018799B"/>
    <w:rsid w:val="00187CB7"/>
    <w:rsid w:val="00191102"/>
    <w:rsid w:val="00192155"/>
    <w:rsid w:val="001962B7"/>
    <w:rsid w:val="00196825"/>
    <w:rsid w:val="00197A03"/>
    <w:rsid w:val="001A190E"/>
    <w:rsid w:val="001A4107"/>
    <w:rsid w:val="001A7137"/>
    <w:rsid w:val="001B1725"/>
    <w:rsid w:val="001B24A1"/>
    <w:rsid w:val="001B2AD1"/>
    <w:rsid w:val="001C123A"/>
    <w:rsid w:val="001C34E4"/>
    <w:rsid w:val="001C3EF8"/>
    <w:rsid w:val="001C50A5"/>
    <w:rsid w:val="001C50D5"/>
    <w:rsid w:val="001D3F61"/>
    <w:rsid w:val="001D631C"/>
    <w:rsid w:val="001D6967"/>
    <w:rsid w:val="001D6EC0"/>
    <w:rsid w:val="001D7E69"/>
    <w:rsid w:val="001E1BB5"/>
    <w:rsid w:val="001E2920"/>
    <w:rsid w:val="001E389A"/>
    <w:rsid w:val="001E59D2"/>
    <w:rsid w:val="001E706A"/>
    <w:rsid w:val="001F1813"/>
    <w:rsid w:val="001F6363"/>
    <w:rsid w:val="001F7529"/>
    <w:rsid w:val="00204E76"/>
    <w:rsid w:val="00205396"/>
    <w:rsid w:val="0021038F"/>
    <w:rsid w:val="00211AB8"/>
    <w:rsid w:val="00213ECF"/>
    <w:rsid w:val="002140E5"/>
    <w:rsid w:val="002149E0"/>
    <w:rsid w:val="002173DF"/>
    <w:rsid w:val="002256EB"/>
    <w:rsid w:val="00232604"/>
    <w:rsid w:val="00240295"/>
    <w:rsid w:val="002519F0"/>
    <w:rsid w:val="00251F37"/>
    <w:rsid w:val="0025279A"/>
    <w:rsid w:val="0025354E"/>
    <w:rsid w:val="00253E79"/>
    <w:rsid w:val="0025788B"/>
    <w:rsid w:val="002635EA"/>
    <w:rsid w:val="002666D1"/>
    <w:rsid w:val="00266D1D"/>
    <w:rsid w:val="002675D3"/>
    <w:rsid w:val="0027292E"/>
    <w:rsid w:val="00272D74"/>
    <w:rsid w:val="002759E4"/>
    <w:rsid w:val="00281557"/>
    <w:rsid w:val="00281838"/>
    <w:rsid w:val="002819A0"/>
    <w:rsid w:val="00281DFD"/>
    <w:rsid w:val="00283193"/>
    <w:rsid w:val="00284FEC"/>
    <w:rsid w:val="00290449"/>
    <w:rsid w:val="002A1E58"/>
    <w:rsid w:val="002A20D3"/>
    <w:rsid w:val="002A55C9"/>
    <w:rsid w:val="002A6330"/>
    <w:rsid w:val="002B0170"/>
    <w:rsid w:val="002B08C7"/>
    <w:rsid w:val="002B0FE0"/>
    <w:rsid w:val="002B216C"/>
    <w:rsid w:val="002B43C9"/>
    <w:rsid w:val="002B572B"/>
    <w:rsid w:val="002B6E45"/>
    <w:rsid w:val="002C156F"/>
    <w:rsid w:val="002C1C0C"/>
    <w:rsid w:val="002C7471"/>
    <w:rsid w:val="002D1ED8"/>
    <w:rsid w:val="002D3688"/>
    <w:rsid w:val="002D450C"/>
    <w:rsid w:val="002D622D"/>
    <w:rsid w:val="002D643D"/>
    <w:rsid w:val="002D7092"/>
    <w:rsid w:val="002E4606"/>
    <w:rsid w:val="002F1B0A"/>
    <w:rsid w:val="002F392C"/>
    <w:rsid w:val="002F7931"/>
    <w:rsid w:val="00303E1D"/>
    <w:rsid w:val="00314BE7"/>
    <w:rsid w:val="00315DF7"/>
    <w:rsid w:val="00325FF8"/>
    <w:rsid w:val="00331444"/>
    <w:rsid w:val="003342E0"/>
    <w:rsid w:val="00335FA0"/>
    <w:rsid w:val="00336803"/>
    <w:rsid w:val="00342012"/>
    <w:rsid w:val="003430C1"/>
    <w:rsid w:val="00345007"/>
    <w:rsid w:val="00345B6B"/>
    <w:rsid w:val="00347604"/>
    <w:rsid w:val="00352501"/>
    <w:rsid w:val="00364B80"/>
    <w:rsid w:val="00371243"/>
    <w:rsid w:val="003725C8"/>
    <w:rsid w:val="00373871"/>
    <w:rsid w:val="00375FAF"/>
    <w:rsid w:val="0037664E"/>
    <w:rsid w:val="00380A19"/>
    <w:rsid w:val="00380D4F"/>
    <w:rsid w:val="0038515C"/>
    <w:rsid w:val="003909FF"/>
    <w:rsid w:val="00391CF8"/>
    <w:rsid w:val="003924DD"/>
    <w:rsid w:val="00393400"/>
    <w:rsid w:val="003A098B"/>
    <w:rsid w:val="003A192F"/>
    <w:rsid w:val="003A2E21"/>
    <w:rsid w:val="003A435D"/>
    <w:rsid w:val="003A5E0E"/>
    <w:rsid w:val="003A6EF4"/>
    <w:rsid w:val="003B0311"/>
    <w:rsid w:val="003B256A"/>
    <w:rsid w:val="003B36A4"/>
    <w:rsid w:val="003B50F9"/>
    <w:rsid w:val="003B6D0E"/>
    <w:rsid w:val="003B7C9F"/>
    <w:rsid w:val="003C0397"/>
    <w:rsid w:val="003C4235"/>
    <w:rsid w:val="003D077B"/>
    <w:rsid w:val="003D19EF"/>
    <w:rsid w:val="003D23A0"/>
    <w:rsid w:val="003D5E2D"/>
    <w:rsid w:val="003E212A"/>
    <w:rsid w:val="003E3D14"/>
    <w:rsid w:val="003E3E66"/>
    <w:rsid w:val="00400DC0"/>
    <w:rsid w:val="00400FB4"/>
    <w:rsid w:val="00401F50"/>
    <w:rsid w:val="00402571"/>
    <w:rsid w:val="00402F9F"/>
    <w:rsid w:val="00404C75"/>
    <w:rsid w:val="00405E58"/>
    <w:rsid w:val="004105D8"/>
    <w:rsid w:val="004136A4"/>
    <w:rsid w:val="004146BF"/>
    <w:rsid w:val="00415378"/>
    <w:rsid w:val="0041587F"/>
    <w:rsid w:val="0041650D"/>
    <w:rsid w:val="004207CC"/>
    <w:rsid w:val="00421B13"/>
    <w:rsid w:val="004332EA"/>
    <w:rsid w:val="004343F0"/>
    <w:rsid w:val="00435481"/>
    <w:rsid w:val="00442D5A"/>
    <w:rsid w:val="00443207"/>
    <w:rsid w:val="004439B5"/>
    <w:rsid w:val="00450FDC"/>
    <w:rsid w:val="00452705"/>
    <w:rsid w:val="004537AC"/>
    <w:rsid w:val="00453FF5"/>
    <w:rsid w:val="00454E95"/>
    <w:rsid w:val="0045590F"/>
    <w:rsid w:val="00455A78"/>
    <w:rsid w:val="004605B9"/>
    <w:rsid w:val="00461A30"/>
    <w:rsid w:val="00461CB7"/>
    <w:rsid w:val="00464213"/>
    <w:rsid w:val="00464CF0"/>
    <w:rsid w:val="00465287"/>
    <w:rsid w:val="0046549F"/>
    <w:rsid w:val="0047065A"/>
    <w:rsid w:val="00472640"/>
    <w:rsid w:val="0047267B"/>
    <w:rsid w:val="00472794"/>
    <w:rsid w:val="0047279B"/>
    <w:rsid w:val="00475176"/>
    <w:rsid w:val="00475502"/>
    <w:rsid w:val="00476244"/>
    <w:rsid w:val="0047640C"/>
    <w:rsid w:val="004768DE"/>
    <w:rsid w:val="00477BE9"/>
    <w:rsid w:val="004809ED"/>
    <w:rsid w:val="0048186C"/>
    <w:rsid w:val="00483288"/>
    <w:rsid w:val="00484AF5"/>
    <w:rsid w:val="0048748F"/>
    <w:rsid w:val="00487D0E"/>
    <w:rsid w:val="00487F77"/>
    <w:rsid w:val="004937A4"/>
    <w:rsid w:val="004A335B"/>
    <w:rsid w:val="004A54C5"/>
    <w:rsid w:val="004A5643"/>
    <w:rsid w:val="004B2847"/>
    <w:rsid w:val="004B2D7D"/>
    <w:rsid w:val="004B31E2"/>
    <w:rsid w:val="004C0052"/>
    <w:rsid w:val="004C2BDB"/>
    <w:rsid w:val="004C575A"/>
    <w:rsid w:val="004C75FE"/>
    <w:rsid w:val="004D2B81"/>
    <w:rsid w:val="004D2CA4"/>
    <w:rsid w:val="004D2F7D"/>
    <w:rsid w:val="004D3427"/>
    <w:rsid w:val="004D3463"/>
    <w:rsid w:val="004D5295"/>
    <w:rsid w:val="004D6BF5"/>
    <w:rsid w:val="004E13FB"/>
    <w:rsid w:val="004E2850"/>
    <w:rsid w:val="004E3CA4"/>
    <w:rsid w:val="004E5D5B"/>
    <w:rsid w:val="004F1678"/>
    <w:rsid w:val="004F29BD"/>
    <w:rsid w:val="004F469E"/>
    <w:rsid w:val="004F4EDE"/>
    <w:rsid w:val="004F7A8F"/>
    <w:rsid w:val="0050322A"/>
    <w:rsid w:val="00504AF8"/>
    <w:rsid w:val="005057F3"/>
    <w:rsid w:val="00507C2D"/>
    <w:rsid w:val="005117F3"/>
    <w:rsid w:val="00511D59"/>
    <w:rsid w:val="005150A9"/>
    <w:rsid w:val="0051596C"/>
    <w:rsid w:val="00516891"/>
    <w:rsid w:val="00517369"/>
    <w:rsid w:val="005200AF"/>
    <w:rsid w:val="00521197"/>
    <w:rsid w:val="005213B8"/>
    <w:rsid w:val="00522CB2"/>
    <w:rsid w:val="00526C7C"/>
    <w:rsid w:val="00531FEC"/>
    <w:rsid w:val="0053222B"/>
    <w:rsid w:val="00540455"/>
    <w:rsid w:val="00542C70"/>
    <w:rsid w:val="00555086"/>
    <w:rsid w:val="0055529B"/>
    <w:rsid w:val="0056318F"/>
    <w:rsid w:val="00563721"/>
    <w:rsid w:val="00563AD5"/>
    <w:rsid w:val="00567AA2"/>
    <w:rsid w:val="00574C05"/>
    <w:rsid w:val="00581D58"/>
    <w:rsid w:val="00581EF0"/>
    <w:rsid w:val="005871F6"/>
    <w:rsid w:val="005903ED"/>
    <w:rsid w:val="00591815"/>
    <w:rsid w:val="00594C65"/>
    <w:rsid w:val="00596DB1"/>
    <w:rsid w:val="005A0AA8"/>
    <w:rsid w:val="005A63CC"/>
    <w:rsid w:val="005A7FBB"/>
    <w:rsid w:val="005B14DB"/>
    <w:rsid w:val="005B38DF"/>
    <w:rsid w:val="005B7D20"/>
    <w:rsid w:val="005C11AE"/>
    <w:rsid w:val="005C2BAB"/>
    <w:rsid w:val="005C38ED"/>
    <w:rsid w:val="005C3E87"/>
    <w:rsid w:val="005D5087"/>
    <w:rsid w:val="005D59B7"/>
    <w:rsid w:val="005D6A92"/>
    <w:rsid w:val="005E2998"/>
    <w:rsid w:val="005E4384"/>
    <w:rsid w:val="005E7661"/>
    <w:rsid w:val="005F0398"/>
    <w:rsid w:val="005F1D30"/>
    <w:rsid w:val="005F7A28"/>
    <w:rsid w:val="00601D7A"/>
    <w:rsid w:val="00603DE5"/>
    <w:rsid w:val="0060436D"/>
    <w:rsid w:val="006059DC"/>
    <w:rsid w:val="00605B28"/>
    <w:rsid w:val="00605C49"/>
    <w:rsid w:val="006064FC"/>
    <w:rsid w:val="006110C3"/>
    <w:rsid w:val="006117F5"/>
    <w:rsid w:val="00612E03"/>
    <w:rsid w:val="0061565B"/>
    <w:rsid w:val="006156C6"/>
    <w:rsid w:val="00615C5D"/>
    <w:rsid w:val="00615F49"/>
    <w:rsid w:val="00617871"/>
    <w:rsid w:val="006201A7"/>
    <w:rsid w:val="00622345"/>
    <w:rsid w:val="0062250E"/>
    <w:rsid w:val="00622ABA"/>
    <w:rsid w:val="00623A27"/>
    <w:rsid w:val="00624055"/>
    <w:rsid w:val="006255AB"/>
    <w:rsid w:val="0062681E"/>
    <w:rsid w:val="006302E9"/>
    <w:rsid w:val="00631F5E"/>
    <w:rsid w:val="00640AA9"/>
    <w:rsid w:val="00643ECE"/>
    <w:rsid w:val="006465B6"/>
    <w:rsid w:val="0064692E"/>
    <w:rsid w:val="00646C2B"/>
    <w:rsid w:val="00647AF3"/>
    <w:rsid w:val="00653A34"/>
    <w:rsid w:val="006551B3"/>
    <w:rsid w:val="006555FB"/>
    <w:rsid w:val="00655997"/>
    <w:rsid w:val="00656123"/>
    <w:rsid w:val="006620F8"/>
    <w:rsid w:val="00662101"/>
    <w:rsid w:val="0066292E"/>
    <w:rsid w:val="00666504"/>
    <w:rsid w:val="0067044C"/>
    <w:rsid w:val="00673BDA"/>
    <w:rsid w:val="00673C59"/>
    <w:rsid w:val="00676193"/>
    <w:rsid w:val="006767A3"/>
    <w:rsid w:val="00676B2E"/>
    <w:rsid w:val="00676C54"/>
    <w:rsid w:val="00681A46"/>
    <w:rsid w:val="00684693"/>
    <w:rsid w:val="00684F50"/>
    <w:rsid w:val="00691455"/>
    <w:rsid w:val="006921ED"/>
    <w:rsid w:val="0069383A"/>
    <w:rsid w:val="00695033"/>
    <w:rsid w:val="006952FF"/>
    <w:rsid w:val="00695D7F"/>
    <w:rsid w:val="00696966"/>
    <w:rsid w:val="00696B84"/>
    <w:rsid w:val="00697A0A"/>
    <w:rsid w:val="006A0B79"/>
    <w:rsid w:val="006A2658"/>
    <w:rsid w:val="006A6BE6"/>
    <w:rsid w:val="006B0B3E"/>
    <w:rsid w:val="006B0EBD"/>
    <w:rsid w:val="006B1396"/>
    <w:rsid w:val="006B246F"/>
    <w:rsid w:val="006B2600"/>
    <w:rsid w:val="006B3C32"/>
    <w:rsid w:val="006C1616"/>
    <w:rsid w:val="006C2433"/>
    <w:rsid w:val="006C7080"/>
    <w:rsid w:val="006C7174"/>
    <w:rsid w:val="006C7D4C"/>
    <w:rsid w:val="006D377C"/>
    <w:rsid w:val="006D4254"/>
    <w:rsid w:val="006D6709"/>
    <w:rsid w:val="006E086C"/>
    <w:rsid w:val="006E13CC"/>
    <w:rsid w:val="006E1C92"/>
    <w:rsid w:val="006E3DE8"/>
    <w:rsid w:val="006E4997"/>
    <w:rsid w:val="006E6788"/>
    <w:rsid w:val="006F026D"/>
    <w:rsid w:val="006F2352"/>
    <w:rsid w:val="006F2A80"/>
    <w:rsid w:val="006F3695"/>
    <w:rsid w:val="006F3858"/>
    <w:rsid w:val="006F3B77"/>
    <w:rsid w:val="006F53B4"/>
    <w:rsid w:val="006F6259"/>
    <w:rsid w:val="006F7204"/>
    <w:rsid w:val="0070040E"/>
    <w:rsid w:val="0070309A"/>
    <w:rsid w:val="00703B78"/>
    <w:rsid w:val="0071126B"/>
    <w:rsid w:val="007133B3"/>
    <w:rsid w:val="00714066"/>
    <w:rsid w:val="007140E3"/>
    <w:rsid w:val="00716018"/>
    <w:rsid w:val="00721587"/>
    <w:rsid w:val="007219D2"/>
    <w:rsid w:val="00721F6F"/>
    <w:rsid w:val="00722B28"/>
    <w:rsid w:val="0072406F"/>
    <w:rsid w:val="00725CAA"/>
    <w:rsid w:val="00725E60"/>
    <w:rsid w:val="0073072B"/>
    <w:rsid w:val="00731507"/>
    <w:rsid w:val="007367C9"/>
    <w:rsid w:val="007372C2"/>
    <w:rsid w:val="00740710"/>
    <w:rsid w:val="00745DE5"/>
    <w:rsid w:val="00747AC5"/>
    <w:rsid w:val="007520E1"/>
    <w:rsid w:val="007564D6"/>
    <w:rsid w:val="00757ADC"/>
    <w:rsid w:val="00761F5A"/>
    <w:rsid w:val="0077022C"/>
    <w:rsid w:val="00771B08"/>
    <w:rsid w:val="00776CC9"/>
    <w:rsid w:val="00776DFC"/>
    <w:rsid w:val="00784355"/>
    <w:rsid w:val="00790B9B"/>
    <w:rsid w:val="00791043"/>
    <w:rsid w:val="007911DA"/>
    <w:rsid w:val="0079259F"/>
    <w:rsid w:val="007A0DD5"/>
    <w:rsid w:val="007A15CA"/>
    <w:rsid w:val="007A30A5"/>
    <w:rsid w:val="007A429E"/>
    <w:rsid w:val="007A4F57"/>
    <w:rsid w:val="007A6AAB"/>
    <w:rsid w:val="007B0F7E"/>
    <w:rsid w:val="007B3082"/>
    <w:rsid w:val="007B35F5"/>
    <w:rsid w:val="007B7727"/>
    <w:rsid w:val="007B78F5"/>
    <w:rsid w:val="007C0434"/>
    <w:rsid w:val="007C2216"/>
    <w:rsid w:val="007C45F1"/>
    <w:rsid w:val="007C4642"/>
    <w:rsid w:val="007D201B"/>
    <w:rsid w:val="007D3545"/>
    <w:rsid w:val="007D4099"/>
    <w:rsid w:val="007D5B00"/>
    <w:rsid w:val="007E0268"/>
    <w:rsid w:val="007E1660"/>
    <w:rsid w:val="007E2103"/>
    <w:rsid w:val="007E3D8D"/>
    <w:rsid w:val="007E6CBB"/>
    <w:rsid w:val="007E7A16"/>
    <w:rsid w:val="007F102F"/>
    <w:rsid w:val="007F16E1"/>
    <w:rsid w:val="007F4BD4"/>
    <w:rsid w:val="007F601C"/>
    <w:rsid w:val="007F718A"/>
    <w:rsid w:val="00802D50"/>
    <w:rsid w:val="00804EF6"/>
    <w:rsid w:val="0080558F"/>
    <w:rsid w:val="008057F1"/>
    <w:rsid w:val="00807ABB"/>
    <w:rsid w:val="00810D30"/>
    <w:rsid w:val="00811179"/>
    <w:rsid w:val="00811512"/>
    <w:rsid w:val="0081172D"/>
    <w:rsid w:val="00812909"/>
    <w:rsid w:val="008162D0"/>
    <w:rsid w:val="0081671C"/>
    <w:rsid w:val="00817889"/>
    <w:rsid w:val="00817C0A"/>
    <w:rsid w:val="00820A62"/>
    <w:rsid w:val="008236AA"/>
    <w:rsid w:val="00824112"/>
    <w:rsid w:val="0082484F"/>
    <w:rsid w:val="00831276"/>
    <w:rsid w:val="00832033"/>
    <w:rsid w:val="008328F1"/>
    <w:rsid w:val="00833EB7"/>
    <w:rsid w:val="00835310"/>
    <w:rsid w:val="0084788B"/>
    <w:rsid w:val="00847DAC"/>
    <w:rsid w:val="00847ED1"/>
    <w:rsid w:val="00850980"/>
    <w:rsid w:val="00851F34"/>
    <w:rsid w:val="008547F7"/>
    <w:rsid w:val="00854F32"/>
    <w:rsid w:val="008563D9"/>
    <w:rsid w:val="0086094A"/>
    <w:rsid w:val="00865FCC"/>
    <w:rsid w:val="00867583"/>
    <w:rsid w:val="008727FF"/>
    <w:rsid w:val="008738EA"/>
    <w:rsid w:val="00874617"/>
    <w:rsid w:val="00877326"/>
    <w:rsid w:val="00881C68"/>
    <w:rsid w:val="00882B26"/>
    <w:rsid w:val="00882DF7"/>
    <w:rsid w:val="0089422E"/>
    <w:rsid w:val="00895ED4"/>
    <w:rsid w:val="008963A7"/>
    <w:rsid w:val="00897A05"/>
    <w:rsid w:val="008A011E"/>
    <w:rsid w:val="008A0175"/>
    <w:rsid w:val="008A141C"/>
    <w:rsid w:val="008A35D7"/>
    <w:rsid w:val="008A3889"/>
    <w:rsid w:val="008B173C"/>
    <w:rsid w:val="008B1859"/>
    <w:rsid w:val="008B644C"/>
    <w:rsid w:val="008C1784"/>
    <w:rsid w:val="008C354A"/>
    <w:rsid w:val="008C66A2"/>
    <w:rsid w:val="008D0D3C"/>
    <w:rsid w:val="008D71A3"/>
    <w:rsid w:val="008D746D"/>
    <w:rsid w:val="008E0DF8"/>
    <w:rsid w:val="008E6206"/>
    <w:rsid w:val="008E6692"/>
    <w:rsid w:val="008E7771"/>
    <w:rsid w:val="008F1B7A"/>
    <w:rsid w:val="008F3E23"/>
    <w:rsid w:val="008F5948"/>
    <w:rsid w:val="008F628F"/>
    <w:rsid w:val="008F6B51"/>
    <w:rsid w:val="008F7677"/>
    <w:rsid w:val="0090045D"/>
    <w:rsid w:val="00900B8C"/>
    <w:rsid w:val="009018B6"/>
    <w:rsid w:val="00901B07"/>
    <w:rsid w:val="00903A30"/>
    <w:rsid w:val="00904BE2"/>
    <w:rsid w:val="00907A5F"/>
    <w:rsid w:val="0091075D"/>
    <w:rsid w:val="00910F78"/>
    <w:rsid w:val="0091105B"/>
    <w:rsid w:val="009159E9"/>
    <w:rsid w:val="00920A48"/>
    <w:rsid w:val="00920E23"/>
    <w:rsid w:val="00921D61"/>
    <w:rsid w:val="009242BE"/>
    <w:rsid w:val="009248B9"/>
    <w:rsid w:val="0092504F"/>
    <w:rsid w:val="009257A9"/>
    <w:rsid w:val="00925E0C"/>
    <w:rsid w:val="00926D7F"/>
    <w:rsid w:val="00935055"/>
    <w:rsid w:val="00936F14"/>
    <w:rsid w:val="0093757B"/>
    <w:rsid w:val="00940395"/>
    <w:rsid w:val="0094297C"/>
    <w:rsid w:val="009450E9"/>
    <w:rsid w:val="0094536C"/>
    <w:rsid w:val="00946024"/>
    <w:rsid w:val="00946FB2"/>
    <w:rsid w:val="0094790F"/>
    <w:rsid w:val="00950D7E"/>
    <w:rsid w:val="00954262"/>
    <w:rsid w:val="009604DA"/>
    <w:rsid w:val="00962B5F"/>
    <w:rsid w:val="00963893"/>
    <w:rsid w:val="00965738"/>
    <w:rsid w:val="00970198"/>
    <w:rsid w:val="00971B87"/>
    <w:rsid w:val="0097346A"/>
    <w:rsid w:val="00974C65"/>
    <w:rsid w:val="00976E58"/>
    <w:rsid w:val="009811AE"/>
    <w:rsid w:val="00981DCF"/>
    <w:rsid w:val="00982E42"/>
    <w:rsid w:val="009838BC"/>
    <w:rsid w:val="009852DF"/>
    <w:rsid w:val="00987981"/>
    <w:rsid w:val="00992D17"/>
    <w:rsid w:val="009931E5"/>
    <w:rsid w:val="009933BF"/>
    <w:rsid w:val="0099618E"/>
    <w:rsid w:val="00996804"/>
    <w:rsid w:val="00997D92"/>
    <w:rsid w:val="009A01CE"/>
    <w:rsid w:val="009A086F"/>
    <w:rsid w:val="009A0A6F"/>
    <w:rsid w:val="009A420C"/>
    <w:rsid w:val="009A5064"/>
    <w:rsid w:val="009A6D7C"/>
    <w:rsid w:val="009A6F02"/>
    <w:rsid w:val="009B0E18"/>
    <w:rsid w:val="009B155C"/>
    <w:rsid w:val="009B2DA6"/>
    <w:rsid w:val="009B3232"/>
    <w:rsid w:val="009C015B"/>
    <w:rsid w:val="009C6071"/>
    <w:rsid w:val="009C79D7"/>
    <w:rsid w:val="009D2C6A"/>
    <w:rsid w:val="009D42D5"/>
    <w:rsid w:val="009E1397"/>
    <w:rsid w:val="009E4D9A"/>
    <w:rsid w:val="009E51C8"/>
    <w:rsid w:val="009F1C35"/>
    <w:rsid w:val="009F52BD"/>
    <w:rsid w:val="00A0051B"/>
    <w:rsid w:val="00A02498"/>
    <w:rsid w:val="00A02925"/>
    <w:rsid w:val="00A10D0E"/>
    <w:rsid w:val="00A11E6E"/>
    <w:rsid w:val="00A1322B"/>
    <w:rsid w:val="00A13FFF"/>
    <w:rsid w:val="00A14F9B"/>
    <w:rsid w:val="00A16FD3"/>
    <w:rsid w:val="00A239FB"/>
    <w:rsid w:val="00A26EAF"/>
    <w:rsid w:val="00A2795F"/>
    <w:rsid w:val="00A3036A"/>
    <w:rsid w:val="00A32508"/>
    <w:rsid w:val="00A32EA9"/>
    <w:rsid w:val="00A33879"/>
    <w:rsid w:val="00A33BBC"/>
    <w:rsid w:val="00A4098F"/>
    <w:rsid w:val="00A40D18"/>
    <w:rsid w:val="00A40D75"/>
    <w:rsid w:val="00A47255"/>
    <w:rsid w:val="00A52705"/>
    <w:rsid w:val="00A543A2"/>
    <w:rsid w:val="00A56455"/>
    <w:rsid w:val="00A57B6C"/>
    <w:rsid w:val="00A60278"/>
    <w:rsid w:val="00A62F0C"/>
    <w:rsid w:val="00A63F6D"/>
    <w:rsid w:val="00A7139B"/>
    <w:rsid w:val="00A737F3"/>
    <w:rsid w:val="00A73934"/>
    <w:rsid w:val="00A8334F"/>
    <w:rsid w:val="00A840CE"/>
    <w:rsid w:val="00A84A4C"/>
    <w:rsid w:val="00A85900"/>
    <w:rsid w:val="00A859A8"/>
    <w:rsid w:val="00A86129"/>
    <w:rsid w:val="00A877E5"/>
    <w:rsid w:val="00A911A2"/>
    <w:rsid w:val="00A922A7"/>
    <w:rsid w:val="00A94627"/>
    <w:rsid w:val="00A96266"/>
    <w:rsid w:val="00AA14BE"/>
    <w:rsid w:val="00AA242C"/>
    <w:rsid w:val="00AB4666"/>
    <w:rsid w:val="00AB7093"/>
    <w:rsid w:val="00AC0210"/>
    <w:rsid w:val="00AC09B9"/>
    <w:rsid w:val="00AC2D90"/>
    <w:rsid w:val="00AD2662"/>
    <w:rsid w:val="00AE3D17"/>
    <w:rsid w:val="00AE4FAF"/>
    <w:rsid w:val="00AF401F"/>
    <w:rsid w:val="00AF4ED4"/>
    <w:rsid w:val="00AF58B5"/>
    <w:rsid w:val="00AF68A1"/>
    <w:rsid w:val="00AF6F0C"/>
    <w:rsid w:val="00B02611"/>
    <w:rsid w:val="00B05B15"/>
    <w:rsid w:val="00B074CA"/>
    <w:rsid w:val="00B142AB"/>
    <w:rsid w:val="00B173F8"/>
    <w:rsid w:val="00B24FDA"/>
    <w:rsid w:val="00B26816"/>
    <w:rsid w:val="00B270EB"/>
    <w:rsid w:val="00B30C1D"/>
    <w:rsid w:val="00B34354"/>
    <w:rsid w:val="00B430E8"/>
    <w:rsid w:val="00B454CC"/>
    <w:rsid w:val="00B4656B"/>
    <w:rsid w:val="00B467A4"/>
    <w:rsid w:val="00B46A16"/>
    <w:rsid w:val="00B47B56"/>
    <w:rsid w:val="00B512BD"/>
    <w:rsid w:val="00B5222B"/>
    <w:rsid w:val="00B54BCD"/>
    <w:rsid w:val="00B55EE8"/>
    <w:rsid w:val="00B564C7"/>
    <w:rsid w:val="00B56AA8"/>
    <w:rsid w:val="00B56EF3"/>
    <w:rsid w:val="00B57D64"/>
    <w:rsid w:val="00B61682"/>
    <w:rsid w:val="00B618E8"/>
    <w:rsid w:val="00B63C01"/>
    <w:rsid w:val="00B67358"/>
    <w:rsid w:val="00B67799"/>
    <w:rsid w:val="00B70F80"/>
    <w:rsid w:val="00B72955"/>
    <w:rsid w:val="00B73398"/>
    <w:rsid w:val="00B74BFA"/>
    <w:rsid w:val="00B77422"/>
    <w:rsid w:val="00B818C2"/>
    <w:rsid w:val="00B82AA9"/>
    <w:rsid w:val="00B83822"/>
    <w:rsid w:val="00B84F9A"/>
    <w:rsid w:val="00B85343"/>
    <w:rsid w:val="00B9030E"/>
    <w:rsid w:val="00B91686"/>
    <w:rsid w:val="00B93D3E"/>
    <w:rsid w:val="00B93F1F"/>
    <w:rsid w:val="00B95DE3"/>
    <w:rsid w:val="00BA1517"/>
    <w:rsid w:val="00BA1669"/>
    <w:rsid w:val="00BA303C"/>
    <w:rsid w:val="00BA3D72"/>
    <w:rsid w:val="00BA5DD3"/>
    <w:rsid w:val="00BA5DEB"/>
    <w:rsid w:val="00BB251E"/>
    <w:rsid w:val="00BB39CB"/>
    <w:rsid w:val="00BB6D1D"/>
    <w:rsid w:val="00BB7FE6"/>
    <w:rsid w:val="00BC32F5"/>
    <w:rsid w:val="00BC5048"/>
    <w:rsid w:val="00BC71AC"/>
    <w:rsid w:val="00BC7542"/>
    <w:rsid w:val="00BD086D"/>
    <w:rsid w:val="00BD28CD"/>
    <w:rsid w:val="00BD5038"/>
    <w:rsid w:val="00BD770C"/>
    <w:rsid w:val="00BD7C80"/>
    <w:rsid w:val="00BD7E9F"/>
    <w:rsid w:val="00BD7EDA"/>
    <w:rsid w:val="00BE0563"/>
    <w:rsid w:val="00BE36BE"/>
    <w:rsid w:val="00BE45FF"/>
    <w:rsid w:val="00BE66E1"/>
    <w:rsid w:val="00C03C6C"/>
    <w:rsid w:val="00C07543"/>
    <w:rsid w:val="00C10B55"/>
    <w:rsid w:val="00C12DE3"/>
    <w:rsid w:val="00C1450E"/>
    <w:rsid w:val="00C20E27"/>
    <w:rsid w:val="00C22B9D"/>
    <w:rsid w:val="00C2710A"/>
    <w:rsid w:val="00C319D2"/>
    <w:rsid w:val="00C3214A"/>
    <w:rsid w:val="00C329E9"/>
    <w:rsid w:val="00C35401"/>
    <w:rsid w:val="00C37249"/>
    <w:rsid w:val="00C37337"/>
    <w:rsid w:val="00C37C35"/>
    <w:rsid w:val="00C40C3E"/>
    <w:rsid w:val="00C415F9"/>
    <w:rsid w:val="00C444CD"/>
    <w:rsid w:val="00C45E15"/>
    <w:rsid w:val="00C477C6"/>
    <w:rsid w:val="00C53AB8"/>
    <w:rsid w:val="00C559FF"/>
    <w:rsid w:val="00C576F0"/>
    <w:rsid w:val="00C60D55"/>
    <w:rsid w:val="00C62135"/>
    <w:rsid w:val="00C65A5A"/>
    <w:rsid w:val="00C66737"/>
    <w:rsid w:val="00C67DA4"/>
    <w:rsid w:val="00C71014"/>
    <w:rsid w:val="00C721FC"/>
    <w:rsid w:val="00C817AB"/>
    <w:rsid w:val="00C81D04"/>
    <w:rsid w:val="00C843DA"/>
    <w:rsid w:val="00C872C2"/>
    <w:rsid w:val="00C91301"/>
    <w:rsid w:val="00C925F0"/>
    <w:rsid w:val="00C96BDA"/>
    <w:rsid w:val="00C96C97"/>
    <w:rsid w:val="00CA02D0"/>
    <w:rsid w:val="00CA035B"/>
    <w:rsid w:val="00CA0AF5"/>
    <w:rsid w:val="00CA341C"/>
    <w:rsid w:val="00CA73DE"/>
    <w:rsid w:val="00CA74E2"/>
    <w:rsid w:val="00CB099C"/>
    <w:rsid w:val="00CB1326"/>
    <w:rsid w:val="00CB4962"/>
    <w:rsid w:val="00CB4C4D"/>
    <w:rsid w:val="00CB523F"/>
    <w:rsid w:val="00CB75EB"/>
    <w:rsid w:val="00CC0AEC"/>
    <w:rsid w:val="00CC0B42"/>
    <w:rsid w:val="00CC3AA9"/>
    <w:rsid w:val="00CC5056"/>
    <w:rsid w:val="00CC6A42"/>
    <w:rsid w:val="00CD317D"/>
    <w:rsid w:val="00CD3B40"/>
    <w:rsid w:val="00CD477D"/>
    <w:rsid w:val="00CD5373"/>
    <w:rsid w:val="00CD7292"/>
    <w:rsid w:val="00CE059E"/>
    <w:rsid w:val="00CE1E16"/>
    <w:rsid w:val="00CE2C10"/>
    <w:rsid w:val="00CE3DAC"/>
    <w:rsid w:val="00CE4BA8"/>
    <w:rsid w:val="00CE5437"/>
    <w:rsid w:val="00CE5871"/>
    <w:rsid w:val="00CE777B"/>
    <w:rsid w:val="00CF1606"/>
    <w:rsid w:val="00CF2E7C"/>
    <w:rsid w:val="00CF6100"/>
    <w:rsid w:val="00CF6E21"/>
    <w:rsid w:val="00D00EA0"/>
    <w:rsid w:val="00D04707"/>
    <w:rsid w:val="00D049B9"/>
    <w:rsid w:val="00D05046"/>
    <w:rsid w:val="00D06B71"/>
    <w:rsid w:val="00D11983"/>
    <w:rsid w:val="00D1207A"/>
    <w:rsid w:val="00D140D2"/>
    <w:rsid w:val="00D14E69"/>
    <w:rsid w:val="00D1636A"/>
    <w:rsid w:val="00D17027"/>
    <w:rsid w:val="00D21D8B"/>
    <w:rsid w:val="00D2510B"/>
    <w:rsid w:val="00D30565"/>
    <w:rsid w:val="00D31C4D"/>
    <w:rsid w:val="00D33EB8"/>
    <w:rsid w:val="00D3447D"/>
    <w:rsid w:val="00D34729"/>
    <w:rsid w:val="00D375FC"/>
    <w:rsid w:val="00D42847"/>
    <w:rsid w:val="00D47113"/>
    <w:rsid w:val="00D476A9"/>
    <w:rsid w:val="00D53341"/>
    <w:rsid w:val="00D5423E"/>
    <w:rsid w:val="00D573CB"/>
    <w:rsid w:val="00D623D5"/>
    <w:rsid w:val="00D64574"/>
    <w:rsid w:val="00D647C2"/>
    <w:rsid w:val="00D73684"/>
    <w:rsid w:val="00D763C3"/>
    <w:rsid w:val="00D802B8"/>
    <w:rsid w:val="00D835EE"/>
    <w:rsid w:val="00D90991"/>
    <w:rsid w:val="00D9195B"/>
    <w:rsid w:val="00D94279"/>
    <w:rsid w:val="00DA1DD4"/>
    <w:rsid w:val="00DA203A"/>
    <w:rsid w:val="00DA2BF9"/>
    <w:rsid w:val="00DB037C"/>
    <w:rsid w:val="00DB06EE"/>
    <w:rsid w:val="00DB2BDD"/>
    <w:rsid w:val="00DB65A1"/>
    <w:rsid w:val="00DB7FB5"/>
    <w:rsid w:val="00DC5366"/>
    <w:rsid w:val="00DD0909"/>
    <w:rsid w:val="00DD1DFE"/>
    <w:rsid w:val="00DD364E"/>
    <w:rsid w:val="00DD4246"/>
    <w:rsid w:val="00DD4611"/>
    <w:rsid w:val="00DD4E66"/>
    <w:rsid w:val="00DD5437"/>
    <w:rsid w:val="00DE19BF"/>
    <w:rsid w:val="00DE7B55"/>
    <w:rsid w:val="00DE7C82"/>
    <w:rsid w:val="00DF0A50"/>
    <w:rsid w:val="00DF1753"/>
    <w:rsid w:val="00DF1EED"/>
    <w:rsid w:val="00DF40C5"/>
    <w:rsid w:val="00DF493B"/>
    <w:rsid w:val="00DF6D53"/>
    <w:rsid w:val="00DF7D81"/>
    <w:rsid w:val="00E01F7D"/>
    <w:rsid w:val="00E04D1A"/>
    <w:rsid w:val="00E04F1C"/>
    <w:rsid w:val="00E054E0"/>
    <w:rsid w:val="00E05EBE"/>
    <w:rsid w:val="00E13808"/>
    <w:rsid w:val="00E17A98"/>
    <w:rsid w:val="00E27A72"/>
    <w:rsid w:val="00E3277E"/>
    <w:rsid w:val="00E32BE8"/>
    <w:rsid w:val="00E3319A"/>
    <w:rsid w:val="00E34A35"/>
    <w:rsid w:val="00E36196"/>
    <w:rsid w:val="00E41F35"/>
    <w:rsid w:val="00E4313B"/>
    <w:rsid w:val="00E448A3"/>
    <w:rsid w:val="00E4733C"/>
    <w:rsid w:val="00E5181D"/>
    <w:rsid w:val="00E5306B"/>
    <w:rsid w:val="00E53B0D"/>
    <w:rsid w:val="00E547E0"/>
    <w:rsid w:val="00E56373"/>
    <w:rsid w:val="00E5746C"/>
    <w:rsid w:val="00E578AB"/>
    <w:rsid w:val="00E603B7"/>
    <w:rsid w:val="00E61520"/>
    <w:rsid w:val="00E62119"/>
    <w:rsid w:val="00E627BE"/>
    <w:rsid w:val="00E63709"/>
    <w:rsid w:val="00E66421"/>
    <w:rsid w:val="00E668D6"/>
    <w:rsid w:val="00E66904"/>
    <w:rsid w:val="00E66A7B"/>
    <w:rsid w:val="00E6732E"/>
    <w:rsid w:val="00E70C4D"/>
    <w:rsid w:val="00E711BA"/>
    <w:rsid w:val="00E7298A"/>
    <w:rsid w:val="00E74050"/>
    <w:rsid w:val="00E74411"/>
    <w:rsid w:val="00E765AF"/>
    <w:rsid w:val="00E768F1"/>
    <w:rsid w:val="00E80A20"/>
    <w:rsid w:val="00E8306D"/>
    <w:rsid w:val="00E83A82"/>
    <w:rsid w:val="00E87F81"/>
    <w:rsid w:val="00E9090B"/>
    <w:rsid w:val="00E90A10"/>
    <w:rsid w:val="00E90BB8"/>
    <w:rsid w:val="00E928C5"/>
    <w:rsid w:val="00E935C3"/>
    <w:rsid w:val="00EA072E"/>
    <w:rsid w:val="00EA49B1"/>
    <w:rsid w:val="00EB1FAF"/>
    <w:rsid w:val="00EB29C2"/>
    <w:rsid w:val="00EB4240"/>
    <w:rsid w:val="00EB7011"/>
    <w:rsid w:val="00EB7A73"/>
    <w:rsid w:val="00EC7442"/>
    <w:rsid w:val="00ED4958"/>
    <w:rsid w:val="00ED6759"/>
    <w:rsid w:val="00ED6E50"/>
    <w:rsid w:val="00EE02B6"/>
    <w:rsid w:val="00EE19C8"/>
    <w:rsid w:val="00EE2FC8"/>
    <w:rsid w:val="00EE5FD8"/>
    <w:rsid w:val="00EE6D86"/>
    <w:rsid w:val="00EF27DA"/>
    <w:rsid w:val="00EF5026"/>
    <w:rsid w:val="00EF57AA"/>
    <w:rsid w:val="00F035F5"/>
    <w:rsid w:val="00F04A92"/>
    <w:rsid w:val="00F11357"/>
    <w:rsid w:val="00F11EDE"/>
    <w:rsid w:val="00F136C4"/>
    <w:rsid w:val="00F16CF9"/>
    <w:rsid w:val="00F21F05"/>
    <w:rsid w:val="00F24C46"/>
    <w:rsid w:val="00F3068A"/>
    <w:rsid w:val="00F3095F"/>
    <w:rsid w:val="00F33407"/>
    <w:rsid w:val="00F341ED"/>
    <w:rsid w:val="00F36DCF"/>
    <w:rsid w:val="00F4284B"/>
    <w:rsid w:val="00F432F2"/>
    <w:rsid w:val="00F43786"/>
    <w:rsid w:val="00F4415F"/>
    <w:rsid w:val="00F5006E"/>
    <w:rsid w:val="00F51C04"/>
    <w:rsid w:val="00F52364"/>
    <w:rsid w:val="00F525AE"/>
    <w:rsid w:val="00F52BD3"/>
    <w:rsid w:val="00F53F5F"/>
    <w:rsid w:val="00F55127"/>
    <w:rsid w:val="00F55615"/>
    <w:rsid w:val="00F56D9E"/>
    <w:rsid w:val="00F64467"/>
    <w:rsid w:val="00F67798"/>
    <w:rsid w:val="00F70D09"/>
    <w:rsid w:val="00F74053"/>
    <w:rsid w:val="00F74E38"/>
    <w:rsid w:val="00F76444"/>
    <w:rsid w:val="00F7658B"/>
    <w:rsid w:val="00F779FD"/>
    <w:rsid w:val="00F83210"/>
    <w:rsid w:val="00F84CCA"/>
    <w:rsid w:val="00F861A8"/>
    <w:rsid w:val="00F86679"/>
    <w:rsid w:val="00F87E24"/>
    <w:rsid w:val="00F91220"/>
    <w:rsid w:val="00F95822"/>
    <w:rsid w:val="00F96673"/>
    <w:rsid w:val="00F9673A"/>
    <w:rsid w:val="00F96AF8"/>
    <w:rsid w:val="00FA2647"/>
    <w:rsid w:val="00FA2A8C"/>
    <w:rsid w:val="00FA3FE7"/>
    <w:rsid w:val="00FB04CE"/>
    <w:rsid w:val="00FB1335"/>
    <w:rsid w:val="00FB3DA9"/>
    <w:rsid w:val="00FB52ED"/>
    <w:rsid w:val="00FC124C"/>
    <w:rsid w:val="00FC1CFD"/>
    <w:rsid w:val="00FC214B"/>
    <w:rsid w:val="00FC277C"/>
    <w:rsid w:val="00FC45CC"/>
    <w:rsid w:val="00FC5646"/>
    <w:rsid w:val="00FC7258"/>
    <w:rsid w:val="00FD254F"/>
    <w:rsid w:val="00FD3DC7"/>
    <w:rsid w:val="00FD3E21"/>
    <w:rsid w:val="00FD455E"/>
    <w:rsid w:val="00FD7FB9"/>
    <w:rsid w:val="00FE29C5"/>
    <w:rsid w:val="00FE5081"/>
    <w:rsid w:val="00FF335C"/>
    <w:rsid w:val="016F5F77"/>
    <w:rsid w:val="0FA97B3F"/>
    <w:rsid w:val="186513E6"/>
    <w:rsid w:val="3DA15011"/>
    <w:rsid w:val="4125649E"/>
    <w:rsid w:val="47ED3A0E"/>
    <w:rsid w:val="48C9139C"/>
    <w:rsid w:val="4E4412DF"/>
    <w:rsid w:val="50391D9E"/>
    <w:rsid w:val="61F91637"/>
    <w:rsid w:val="69014BAD"/>
    <w:rsid w:val="6B04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qFormat="1" w:uiPriority="0" w:semiHidden="0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Times New Roman CYR" w:hAnsi="Times New Roman CYR" w:eastAsia="Times New Roman" w:cs="Times New Roman CYR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38"/>
    <w:qFormat/>
    <w:uiPriority w:val="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5"/>
    <w:qFormat/>
    <w:uiPriority w:val="0"/>
    <w:pPr>
      <w:keepNext/>
      <w:widowControl/>
      <w:autoSpaceDE/>
      <w:autoSpaceDN/>
      <w:jc w:val="center"/>
      <w:outlineLvl w:val="1"/>
    </w:pPr>
    <w:rPr>
      <w:rFonts w:ascii="Times New Roman" w:hAnsi="Times New Roman" w:cs="Times New Roman"/>
      <w:b/>
      <w:sz w:val="28"/>
      <w:szCs w:val="20"/>
      <w:lang w:val="uk-U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7"/>
    <w:link w:val="50"/>
    <w:qFormat/>
    <w:uiPriority w:val="0"/>
    <w:pPr>
      <w:widowControl/>
    </w:pPr>
    <w:rPr>
      <w:rFonts w:ascii="Tahoma" w:hAnsi="Tahoma" w:cs="Tahoma"/>
      <w:sz w:val="16"/>
      <w:szCs w:val="16"/>
    </w:rPr>
  </w:style>
  <w:style w:type="paragraph" w:customStyle="1" w:styleId="7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 CYR" w:hAnsi="Times New Roman CYR" w:eastAsia="Times New Roman" w:cs="Times New Roman CYR"/>
      <w:kern w:val="3"/>
      <w:sz w:val="24"/>
      <w:szCs w:val="24"/>
      <w:lang w:val="ru-RU" w:eastAsia="ru-RU" w:bidi="hi-IN"/>
    </w:rPr>
  </w:style>
  <w:style w:type="paragraph" w:styleId="8">
    <w:name w:val="Body Text"/>
    <w:basedOn w:val="1"/>
    <w:link w:val="27"/>
    <w:unhideWhenUsed/>
    <w:qFormat/>
    <w:uiPriority w:val="0"/>
    <w:pPr>
      <w:spacing w:after="120"/>
    </w:pPr>
  </w:style>
  <w:style w:type="paragraph" w:styleId="9">
    <w:name w:val="Body Text 3"/>
    <w:basedOn w:val="1"/>
    <w:link w:val="23"/>
    <w:qFormat/>
    <w:uiPriority w:val="0"/>
    <w:pPr>
      <w:spacing w:after="120"/>
    </w:pPr>
    <w:rPr>
      <w:sz w:val="16"/>
      <w:szCs w:val="16"/>
    </w:rPr>
  </w:style>
  <w:style w:type="character" w:styleId="10">
    <w:name w:val="FollowedHyperlink"/>
    <w:qFormat/>
    <w:uiPriority w:val="0"/>
    <w:rPr>
      <w:color w:val="800080"/>
      <w:u w:val="single"/>
    </w:rPr>
  </w:style>
  <w:style w:type="paragraph" w:styleId="11">
    <w:name w:val="footer"/>
    <w:basedOn w:val="1"/>
    <w:link w:val="40"/>
    <w:qFormat/>
    <w:uiPriority w:val="0"/>
    <w:pPr>
      <w:widowControl/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</w:rPr>
  </w:style>
  <w:style w:type="character" w:styleId="12">
    <w:name w:val="footnote reference"/>
    <w:basedOn w:val="4"/>
    <w:semiHidden/>
    <w:qFormat/>
    <w:uiPriority w:val="0"/>
    <w:rPr>
      <w:vertAlign w:val="superscript"/>
    </w:rPr>
  </w:style>
  <w:style w:type="paragraph" w:styleId="13">
    <w:name w:val="footnote text"/>
    <w:basedOn w:val="1"/>
    <w:link w:val="21"/>
    <w:semiHidden/>
    <w:qFormat/>
    <w:uiPriority w:val="0"/>
    <w:pPr>
      <w:widowControl/>
      <w:overflowPunct w:val="0"/>
      <w:adjustRightInd w:val="0"/>
      <w:spacing w:line="360" w:lineRule="auto"/>
      <w:ind w:firstLine="567"/>
      <w:textAlignment w:val="baseline"/>
    </w:pPr>
    <w:rPr>
      <w:rFonts w:ascii="Arial" w:hAnsi="Arial" w:cs="Times New Roman"/>
      <w:sz w:val="20"/>
      <w:szCs w:val="20"/>
    </w:rPr>
  </w:style>
  <w:style w:type="paragraph" w:styleId="14">
    <w:name w:val="header"/>
    <w:basedOn w:val="1"/>
    <w:link w:val="56"/>
    <w:unhideWhenUsed/>
    <w:qFormat/>
    <w:uiPriority w:val="99"/>
    <w:pPr>
      <w:tabs>
        <w:tab w:val="center" w:pos="4677"/>
        <w:tab w:val="right" w:pos="9355"/>
      </w:tabs>
    </w:pPr>
  </w:style>
  <w:style w:type="paragraph" w:styleId="15">
    <w:name w:val="HTML Preformatted"/>
    <w:basedOn w:val="1"/>
    <w:link w:val="36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styleId="16">
    <w:name w:val="Hyperlink"/>
    <w:semiHidden/>
    <w:qFormat/>
    <w:uiPriority w:val="99"/>
    <w:rPr>
      <w:rFonts w:cs="Times New Roman"/>
      <w:color w:val="0000FF"/>
      <w:u w:val="single"/>
    </w:rPr>
  </w:style>
  <w:style w:type="paragraph" w:styleId="17">
    <w:name w:val="List Number"/>
    <w:basedOn w:val="1"/>
    <w:unhideWhenUsed/>
    <w:qFormat/>
    <w:uiPriority w:val="0"/>
    <w:pPr>
      <w:tabs>
        <w:tab w:val="left" w:pos="720"/>
      </w:tabs>
      <w:ind w:left="720" w:hanging="720"/>
      <w:contextualSpacing/>
    </w:pPr>
  </w:style>
  <w:style w:type="paragraph" w:styleId="18">
    <w:name w:val="Normal (Web)"/>
    <w:basedOn w:val="1"/>
    <w:qFormat/>
    <w:uiPriority w:val="99"/>
    <w:pPr>
      <w:widowControl/>
      <w:autoSpaceDE/>
      <w:autoSpaceDN/>
      <w:spacing w:before="100" w:beforeAutospacing="1" w:after="100" w:afterAutospacing="1"/>
    </w:pPr>
    <w:rPr>
      <w:rFonts w:ascii="Comic Sans MS" w:hAnsi="Comic Sans MS" w:cs="Times New Roman"/>
      <w:color w:val="000000"/>
      <w:sz w:val="20"/>
      <w:szCs w:val="20"/>
    </w:rPr>
  </w:style>
  <w:style w:type="character" w:styleId="19">
    <w:name w:val="Strong"/>
    <w:basedOn w:val="4"/>
    <w:qFormat/>
    <w:uiPriority w:val="0"/>
    <w:rPr>
      <w:b/>
      <w:bCs/>
    </w:rPr>
  </w:style>
  <w:style w:type="table" w:styleId="20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Текст сноски Знак"/>
    <w:basedOn w:val="4"/>
    <w:link w:val="13"/>
    <w:semiHidden/>
    <w:qFormat/>
    <w:uiPriority w:val="0"/>
    <w:rPr>
      <w:rFonts w:ascii="Arial" w:hAnsi="Arial" w:eastAsia="Times New Roman" w:cs="Times New Roman"/>
      <w:sz w:val="20"/>
      <w:szCs w:val="20"/>
      <w:lang w:eastAsia="ru-RU"/>
    </w:r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character" w:customStyle="1" w:styleId="23">
    <w:name w:val="Основной текст 3 Знак"/>
    <w:basedOn w:val="4"/>
    <w:link w:val="9"/>
    <w:qFormat/>
    <w:uiPriority w:val="0"/>
    <w:rPr>
      <w:rFonts w:ascii="Times New Roman CYR" w:hAnsi="Times New Roman CYR" w:eastAsia="Times New Roman" w:cs="Times New Roman CYR"/>
      <w:sz w:val="16"/>
      <w:szCs w:val="16"/>
      <w:lang w:eastAsia="ru-RU"/>
    </w:rPr>
  </w:style>
  <w:style w:type="character" w:customStyle="1" w:styleId="24">
    <w:name w:val="Human Symbol"/>
    <w:basedOn w:val="4"/>
    <w:qFormat/>
    <w:uiPriority w:val="0"/>
    <w:rPr>
      <w:rFonts w:ascii="Symbole Human" w:hAnsi="Symbole Human"/>
      <w:spacing w:val="0"/>
      <w:sz w:val="13"/>
    </w:rPr>
  </w:style>
  <w:style w:type="paragraph" w:customStyle="1" w:styleId="25">
    <w:name w:val="Human Tabelle"/>
    <w:basedOn w:val="1"/>
    <w:qFormat/>
    <w:uiPriority w:val="0"/>
    <w:pPr>
      <w:widowControl/>
      <w:autoSpaceDE/>
      <w:autoSpaceDN/>
      <w:spacing w:after="60" w:line="180" w:lineRule="exact"/>
    </w:pPr>
    <w:rPr>
      <w:rFonts w:ascii="TheSans B4 SemiLight" w:hAnsi="TheSans B4 SemiLight" w:cs="Times New Roman"/>
      <w:sz w:val="15"/>
      <w:szCs w:val="20"/>
      <w:lang w:val="en-GB" w:eastAsia="de-DE"/>
    </w:rPr>
  </w:style>
  <w:style w:type="paragraph" w:customStyle="1" w:styleId="26">
    <w:name w:val="Human Fließtext Hervorhebung"/>
    <w:basedOn w:val="1"/>
    <w:next w:val="1"/>
    <w:qFormat/>
    <w:uiPriority w:val="0"/>
    <w:pPr>
      <w:widowControl/>
      <w:autoSpaceDE/>
      <w:autoSpaceDN/>
      <w:spacing w:after="60" w:line="180" w:lineRule="exact"/>
      <w:jc w:val="both"/>
    </w:pPr>
    <w:rPr>
      <w:rFonts w:ascii="TheSans B7 Bold" w:hAnsi="TheSans B7 Bold" w:cs="Times New Roman"/>
      <w:sz w:val="15"/>
      <w:szCs w:val="20"/>
      <w:lang w:val="de-DE" w:eastAsia="de-DE"/>
    </w:rPr>
  </w:style>
  <w:style w:type="character" w:customStyle="1" w:styleId="27">
    <w:name w:val="Основной текст Знак"/>
    <w:basedOn w:val="4"/>
    <w:link w:val="8"/>
    <w:qFormat/>
    <w:uiPriority w:val="99"/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character" w:customStyle="1" w:styleId="28">
    <w:name w:val="hps"/>
    <w:basedOn w:val="4"/>
    <w:qFormat/>
    <w:uiPriority w:val="99"/>
  </w:style>
  <w:style w:type="paragraph" w:customStyle="1" w:styleId="29">
    <w:name w:val="Pa6"/>
    <w:basedOn w:val="1"/>
    <w:next w:val="1"/>
    <w:qFormat/>
    <w:uiPriority w:val="99"/>
    <w:pPr>
      <w:widowControl/>
      <w:adjustRightInd w:val="0"/>
      <w:spacing w:line="201" w:lineRule="atLeast"/>
    </w:pPr>
    <w:rPr>
      <w:rFonts w:ascii="Century Schoolbook" w:hAnsi="Century Schoolbook" w:eastAsiaTheme="minorHAnsi" w:cstheme="minorBidi"/>
      <w:lang w:eastAsia="en-US"/>
    </w:rPr>
  </w:style>
  <w:style w:type="paragraph" w:customStyle="1" w:styleId="30">
    <w:name w:val="Pa7"/>
    <w:basedOn w:val="1"/>
    <w:next w:val="1"/>
    <w:qFormat/>
    <w:uiPriority w:val="99"/>
    <w:pPr>
      <w:widowControl/>
      <w:adjustRightInd w:val="0"/>
      <w:spacing w:line="181" w:lineRule="atLeast"/>
    </w:pPr>
    <w:rPr>
      <w:rFonts w:ascii="Century Schoolbook" w:hAnsi="Century Schoolbook" w:eastAsiaTheme="minorHAnsi" w:cstheme="minorBidi"/>
      <w:lang w:eastAsia="en-US"/>
    </w:rPr>
  </w:style>
  <w:style w:type="character" w:customStyle="1" w:styleId="31">
    <w:name w:val="A8"/>
    <w:qFormat/>
    <w:uiPriority w:val="99"/>
    <w:rPr>
      <w:rFonts w:cs="Century Schoolbook"/>
      <w:color w:val="000000"/>
      <w:sz w:val="13"/>
      <w:szCs w:val="13"/>
    </w:rPr>
  </w:style>
  <w:style w:type="paragraph" w:customStyle="1" w:styleId="32">
    <w:name w:val="заголовок 6"/>
    <w:basedOn w:val="1"/>
    <w:next w:val="1"/>
    <w:qFormat/>
    <w:uiPriority w:val="0"/>
    <w:pPr>
      <w:keepNext/>
      <w:widowControl/>
      <w:autoSpaceDE/>
      <w:autoSpaceDN/>
      <w:spacing w:line="360" w:lineRule="atLeast"/>
    </w:pPr>
    <w:rPr>
      <w:rFonts w:ascii="Arial" w:hAnsi="Arial" w:cs="Times New Roman"/>
      <w:b/>
      <w:sz w:val="28"/>
      <w:szCs w:val="20"/>
    </w:rPr>
  </w:style>
  <w:style w:type="paragraph" w:customStyle="1" w:styleId="33">
    <w:name w:val="Основной текст с отступом 31"/>
    <w:basedOn w:val="1"/>
    <w:qFormat/>
    <w:uiPriority w:val="0"/>
    <w:pPr>
      <w:widowControl/>
      <w:autoSpaceDE/>
      <w:autoSpaceDN/>
      <w:spacing w:line="360" w:lineRule="auto"/>
      <w:ind w:firstLine="567"/>
      <w:jc w:val="both"/>
    </w:pPr>
    <w:rPr>
      <w:rFonts w:ascii="Times New Roman" w:hAnsi="Times New Roman" w:cs="Times New Roman"/>
      <w:sz w:val="28"/>
      <w:szCs w:val="20"/>
      <w:lang w:val="en-US"/>
    </w:rPr>
  </w:style>
  <w:style w:type="paragraph" w:customStyle="1" w:styleId="34">
    <w:name w:val="Стиль3"/>
    <w:basedOn w:val="17"/>
    <w:qFormat/>
    <w:uiPriority w:val="0"/>
    <w:pPr>
      <w:widowControl/>
      <w:tabs>
        <w:tab w:val="clear" w:pos="720"/>
      </w:tabs>
      <w:autoSpaceDE/>
      <w:autoSpaceDN/>
      <w:ind w:left="0" w:firstLine="0"/>
      <w:contextualSpacing w:val="0"/>
    </w:pPr>
    <w:rPr>
      <w:rFonts w:ascii="Times New Roman" w:hAnsi="Times New Roman" w:cs="Times New Roman"/>
    </w:rPr>
  </w:style>
  <w:style w:type="character" w:customStyle="1" w:styleId="35">
    <w:name w:val="Заголовок 2 Знак"/>
    <w:basedOn w:val="4"/>
    <w:link w:val="3"/>
    <w:qFormat/>
    <w:uiPriority w:val="0"/>
    <w:rPr>
      <w:rFonts w:ascii="Times New Roman" w:hAnsi="Times New Roman" w:eastAsia="Times New Roman" w:cs="Times New Roman"/>
      <w:b/>
      <w:sz w:val="28"/>
      <w:szCs w:val="20"/>
      <w:lang w:val="uk-UA" w:eastAsia="ru-RU"/>
    </w:rPr>
  </w:style>
  <w:style w:type="character" w:customStyle="1" w:styleId="36">
    <w:name w:val="Стандартный HTML Знак"/>
    <w:basedOn w:val="4"/>
    <w:link w:val="15"/>
    <w:qFormat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37">
    <w:name w:val="short_text"/>
    <w:basedOn w:val="4"/>
    <w:qFormat/>
    <w:uiPriority w:val="0"/>
  </w:style>
  <w:style w:type="character" w:customStyle="1" w:styleId="38">
    <w:name w:val="Заголовок 1 Знак"/>
    <w:basedOn w:val="4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ru-RU"/>
    </w:rPr>
  </w:style>
  <w:style w:type="paragraph" w:styleId="39">
    <w:name w:val="No Spacing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uk-UA" w:eastAsia="en-US" w:bidi="ar-SA"/>
    </w:rPr>
  </w:style>
  <w:style w:type="character" w:customStyle="1" w:styleId="40">
    <w:name w:val="Нижний колонтитул Знак"/>
    <w:basedOn w:val="4"/>
    <w:link w:val="1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41">
    <w:name w:val="xl4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42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 w:eastAsiaTheme="minorHAnsi"/>
      <w:color w:val="000000"/>
      <w:sz w:val="24"/>
      <w:szCs w:val="24"/>
      <w:lang w:val="ru-RU" w:eastAsia="en-US" w:bidi="ar-SA"/>
    </w:rPr>
  </w:style>
  <w:style w:type="paragraph" w:customStyle="1" w:styleId="43">
    <w:name w:val="para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44">
    <w:name w:val="Text body"/>
    <w:basedOn w:val="7"/>
    <w:qFormat/>
    <w:uiPriority w:val="0"/>
    <w:pPr>
      <w:spacing w:after="120"/>
    </w:pPr>
  </w:style>
  <w:style w:type="paragraph" w:customStyle="1" w:styleId="45">
    <w:name w:val="Заголовок 11"/>
    <w:basedOn w:val="7"/>
    <w:next w:val="44"/>
    <w:qFormat/>
    <w:uiPriority w:val="0"/>
    <w:pPr>
      <w:keepNext/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customStyle="1" w:styleId="46">
    <w:name w:val="Знак Знак"/>
    <w:basedOn w:val="1"/>
    <w:qFormat/>
    <w:uiPriority w:val="0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7">
    <w:name w:val="xl69"/>
    <w:basedOn w:val="1"/>
    <w:qFormat/>
    <w:uiPriority w:val="0"/>
    <w:pPr>
      <w:widowControl/>
      <w:autoSpaceDE/>
      <w:autoSpaceDN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48">
    <w:name w:val="Основной текст (2)_"/>
    <w:link w:val="49"/>
    <w:qFormat/>
    <w:uiPriority w:val="0"/>
    <w:rPr>
      <w:shd w:val="clear" w:color="auto" w:fill="FFFFFF"/>
    </w:rPr>
  </w:style>
  <w:style w:type="paragraph" w:customStyle="1" w:styleId="49">
    <w:name w:val="Основной текст (2)"/>
    <w:basedOn w:val="1"/>
    <w:link w:val="48"/>
    <w:qFormat/>
    <w:uiPriority w:val="0"/>
    <w:pPr>
      <w:shd w:val="clear" w:color="auto" w:fill="FFFFFF"/>
      <w:autoSpaceDE/>
      <w:autoSpaceDN/>
      <w:spacing w:line="312" w:lineRule="exact"/>
      <w:ind w:hanging="340"/>
      <w:jc w:val="both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50">
    <w:name w:val="Текст выноски Знак"/>
    <w:basedOn w:val="4"/>
    <w:link w:val="6"/>
    <w:qFormat/>
    <w:uiPriority w:val="0"/>
    <w:rPr>
      <w:rFonts w:ascii="Tahoma" w:hAnsi="Tahoma" w:eastAsia="Times New Roman" w:cs="Tahoma"/>
      <w:kern w:val="3"/>
      <w:sz w:val="16"/>
      <w:szCs w:val="16"/>
      <w:lang w:eastAsia="ru-RU" w:bidi="hi-IN"/>
    </w:rPr>
  </w:style>
  <w:style w:type="character" w:customStyle="1" w:styleId="51">
    <w:name w:val="y2iqfc"/>
    <w:basedOn w:val="4"/>
    <w:qFormat/>
    <w:uiPriority w:val="0"/>
  </w:style>
  <w:style w:type="character" w:customStyle="1" w:styleId="52">
    <w:name w:val="Strong Emphasis"/>
    <w:qFormat/>
    <w:uiPriority w:val="0"/>
    <w:rPr>
      <w:b/>
      <w:bCs/>
    </w:rPr>
  </w:style>
  <w:style w:type="paragraph" w:customStyle="1" w:styleId="53">
    <w:name w:val="Знак Знак1 Знак"/>
    <w:basedOn w:val="1"/>
    <w:qFormat/>
    <w:uiPriority w:val="0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54">
    <w:name w:val="Без интервала1"/>
    <w:link w:val="55"/>
    <w:qFormat/>
    <w:uiPriority w:val="0"/>
    <w:pPr>
      <w:widowControl w:val="0"/>
      <w:autoSpaceDE w:val="0"/>
      <w:autoSpaceDN w:val="0"/>
      <w:spacing w:after="0" w:line="240" w:lineRule="auto"/>
    </w:pPr>
    <w:rPr>
      <w:rFonts w:ascii="Times New Roman CYR" w:hAnsi="Times New Roman CYR" w:eastAsia="Times New Roman" w:cs="Times New Roman CYR"/>
      <w:sz w:val="24"/>
      <w:szCs w:val="24"/>
      <w:lang w:val="ru-RU" w:eastAsia="ru-RU" w:bidi="ar-SA"/>
    </w:rPr>
  </w:style>
  <w:style w:type="character" w:customStyle="1" w:styleId="55">
    <w:name w:val="No Spacing Char1"/>
    <w:link w:val="54"/>
    <w:qFormat/>
    <w:locked/>
    <w:uiPriority w:val="0"/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character" w:customStyle="1" w:styleId="56">
    <w:name w:val="Верхний колонтитул Знак"/>
    <w:basedOn w:val="4"/>
    <w:link w:val="14"/>
    <w:qFormat/>
    <w:uiPriority w:val="99"/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customStyle="1" w:styleId="57">
    <w:name w:val="Normal1"/>
    <w:qFormat/>
    <w:uiPriority w:val="0"/>
    <w:rPr>
      <w:rFonts w:ascii="Times New Roman" w:hAnsi="Times New Roman" w:eastAsia="SimSun" w:cs="Times New Roman"/>
      <w:sz w:val="24"/>
      <w:szCs w:val="24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D6DF-436F-446E-9FE7-BD7EE5C00A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40</Pages>
  <Words>13657</Words>
  <Characters>77848</Characters>
  <Lines>648</Lines>
  <Paragraphs>182</Paragraphs>
  <TotalTime>181</TotalTime>
  <ScaleCrop>false</ScaleCrop>
  <LinksUpToDate>false</LinksUpToDate>
  <CharactersWithSpaces>91323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2017-09-28T07:11:00Z</dcterms:created>
  <dc:creator>l.zvyagina</dc:creator>
  <cp:lastModifiedBy>Таня</cp:lastModifiedBy>
  <cp:lastPrinted>2020-02-13T11:40:00Z</cp:lastPrinted>
  <dcterms:modified xsi:type="dcterms:W3CDTF">2024-02-18T11:14:17Z</dcterms:modified>
  <cp:revision>638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67ACCC2195E04F01B9E6299FAE2E6256_13</vt:lpwstr>
  </property>
</Properties>
</file>