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4A26" w:rsidRPr="00B84070" w:rsidRDefault="00E44A26" w:rsidP="00E44A26">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B3761A" w:rsidRPr="00B3761A">
        <w:rPr>
          <w:rFonts w:ascii="Times New Roman" w:eastAsia="Times New Roman" w:hAnsi="Times New Roman" w:cs="Times New Roman"/>
          <w:b/>
          <w:bCs/>
          <w:i/>
          <w:iCs/>
          <w:sz w:val="24"/>
          <w:szCs w:val="24"/>
          <w:lang w:val="uk-UA"/>
        </w:rPr>
        <w:t>Адсорбер  (</w:t>
      </w:r>
      <w:proofErr w:type="spellStart"/>
      <w:r w:rsidR="00B3761A" w:rsidRPr="00B3761A">
        <w:rPr>
          <w:rFonts w:ascii="Times New Roman" w:eastAsia="Times New Roman" w:hAnsi="Times New Roman" w:cs="Times New Roman"/>
          <w:b/>
          <w:bCs/>
          <w:i/>
          <w:iCs/>
          <w:sz w:val="24"/>
          <w:szCs w:val="24"/>
          <w:lang w:val="uk-UA"/>
        </w:rPr>
        <w:t>вологомасловідділювач</w:t>
      </w:r>
      <w:proofErr w:type="spellEnd"/>
      <w:r w:rsidR="00B3761A" w:rsidRPr="00B3761A">
        <w:rPr>
          <w:rFonts w:ascii="Times New Roman" w:eastAsia="Times New Roman" w:hAnsi="Times New Roman" w:cs="Times New Roman"/>
          <w:b/>
          <w:bCs/>
          <w:i/>
          <w:iCs/>
          <w:sz w:val="24"/>
          <w:szCs w:val="24"/>
          <w:lang w:val="uk-UA"/>
        </w:rPr>
        <w:t>) – код ДК 021:2015  42910000-8 Апарати для дистилювання, фільтрування чи ректифікації</w:t>
      </w:r>
      <w:bookmarkStart w:id="0" w:name="_GoBack"/>
      <w:bookmarkEnd w:id="0"/>
      <w:r w:rsidR="00882C5D">
        <w:rPr>
          <w:rFonts w:ascii="Times New Roman" w:eastAsia="Times New Roman" w:hAnsi="Times New Roman" w:cs="Times New Roman"/>
          <w:b/>
          <w:bCs/>
          <w:i/>
          <w:iCs/>
          <w:sz w:val="24"/>
          <w:szCs w:val="24"/>
          <w:lang w:val="uk-UA"/>
        </w:rPr>
        <w:t>.</w:t>
      </w:r>
    </w:p>
    <w:p w:rsidR="00E44A26"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DC4A42" w:rsidRDefault="00DC4A42"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p w:rsidR="00DC4A42" w:rsidRDefault="00DC4A42"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118"/>
        <w:gridCol w:w="1498"/>
        <w:gridCol w:w="1386"/>
        <w:gridCol w:w="1455"/>
        <w:gridCol w:w="1224"/>
        <w:gridCol w:w="1286"/>
      </w:tblGrid>
      <w:tr w:rsidR="00DC4A42" w:rsidRPr="00A30C07" w:rsidTr="00986802">
        <w:tc>
          <w:tcPr>
            <w:tcW w:w="633" w:type="dxa"/>
            <w:shd w:val="clear" w:color="auto" w:fill="auto"/>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232"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r w:rsidRPr="00DC4A42">
              <w:rPr>
                <w:rFonts w:ascii="Times New Roman" w:eastAsia="Times New Roman" w:hAnsi="Times New Roman" w:cs="FreeSans"/>
                <w:b/>
                <w:kern w:val="2"/>
                <w:sz w:val="24"/>
                <w:szCs w:val="24"/>
                <w:lang w:val="uk-UA" w:eastAsia="zh-CN" w:bidi="hi-IN"/>
              </w:rPr>
              <w:t>*</w:t>
            </w:r>
          </w:p>
        </w:tc>
        <w:tc>
          <w:tcPr>
            <w:tcW w:w="1085" w:type="dxa"/>
          </w:tcPr>
          <w:p w:rsidR="00DC4A42" w:rsidRPr="0085745A"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val="uk-UA" w:eastAsia="zh-CN" w:bidi="hi-IN"/>
              </w:rPr>
            </w:pPr>
            <w:r>
              <w:rPr>
                <w:rFonts w:ascii="Times New Roman" w:eastAsia="Times New Roman" w:hAnsi="Times New Roman" w:cs="FreeSans"/>
                <w:b/>
                <w:iCs/>
                <w:color w:val="auto"/>
                <w:kern w:val="2"/>
                <w:sz w:val="24"/>
                <w:szCs w:val="24"/>
                <w:lang w:val="uk-UA" w:eastAsia="zh-CN" w:bidi="hi-IN"/>
              </w:rPr>
              <w:t>Країна-походження товару</w:t>
            </w:r>
          </w:p>
        </w:tc>
        <w:tc>
          <w:tcPr>
            <w:tcW w:w="1451"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498"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314"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DC4A42">
              <w:rPr>
                <w:rFonts w:ascii="Times New Roman" w:eastAsia="Times New Roman" w:hAnsi="Times New Roman" w:cs="FreeSans"/>
                <w:b/>
                <w:iCs/>
                <w:color w:val="auto"/>
                <w:kern w:val="2"/>
                <w:sz w:val="24"/>
                <w:szCs w:val="24"/>
                <w:lang w:eastAsia="zh-CN" w:bidi="hi-IN"/>
              </w:rPr>
              <w:t>**</w:t>
            </w:r>
            <w:r w:rsidRPr="00A30C07">
              <w:rPr>
                <w:rFonts w:ascii="Times New Roman" w:eastAsia="Times New Roman" w:hAnsi="Times New Roman" w:cs="FreeSans"/>
                <w:b/>
                <w:iCs/>
                <w:color w:val="auto"/>
                <w:kern w:val="2"/>
                <w:sz w:val="24"/>
                <w:szCs w:val="24"/>
                <w:lang w:eastAsia="zh-CN" w:bidi="hi-IN"/>
              </w:rPr>
              <w:t xml:space="preserve"> за од, грн., без ПДВ</w:t>
            </w:r>
          </w:p>
        </w:tc>
        <w:tc>
          <w:tcPr>
            <w:tcW w:w="1358"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w:t>
            </w:r>
            <w:r w:rsidRPr="00DC4A42">
              <w:rPr>
                <w:rFonts w:ascii="Times New Roman" w:eastAsia="Times New Roman" w:hAnsi="Times New Roman" w:cs="FreeSans"/>
                <w:b/>
                <w:iCs/>
                <w:color w:val="auto"/>
                <w:kern w:val="2"/>
                <w:sz w:val="24"/>
                <w:szCs w:val="24"/>
                <w:lang w:eastAsia="zh-CN" w:bidi="hi-IN"/>
              </w:rPr>
              <w:t>**</w:t>
            </w:r>
            <w:r w:rsidRPr="00A30C07">
              <w:rPr>
                <w:rFonts w:ascii="Times New Roman" w:eastAsia="Times New Roman" w:hAnsi="Times New Roman" w:cs="FreeSans"/>
                <w:b/>
                <w:iCs/>
                <w:color w:val="auto"/>
                <w:kern w:val="2"/>
                <w:sz w:val="24"/>
                <w:szCs w:val="24"/>
                <w:lang w:eastAsia="zh-CN" w:bidi="hi-IN"/>
              </w:rPr>
              <w:t>, грн., без ПДВ</w:t>
            </w:r>
          </w:p>
        </w:tc>
      </w:tr>
      <w:tr w:rsidR="00DC4A42" w:rsidRPr="00A30C07" w:rsidTr="00986802">
        <w:tc>
          <w:tcPr>
            <w:tcW w:w="633"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232"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085" w:type="dxa"/>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51"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9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314"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r w:rsidRPr="00DC4A42">
              <w:rPr>
                <w:rFonts w:ascii="Times New Roman" w:eastAsia="Times New Roman" w:hAnsi="Times New Roman" w:cs="FreeSans"/>
                <w:b/>
                <w:color w:val="auto"/>
                <w:kern w:val="2"/>
                <w:sz w:val="24"/>
                <w:szCs w:val="24"/>
                <w:lang w:eastAsia="zh-CN" w:bidi="hi-IN"/>
              </w:rPr>
              <w:t>***</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w:t>
      </w:r>
      <w:r w:rsidRPr="00F00CDA">
        <w:rPr>
          <w:rFonts w:ascii="Times New Roman" w:eastAsia="Calibri" w:hAnsi="Times New Roman" w:cs="Times New Roman"/>
          <w:b/>
          <w:color w:val="auto"/>
          <w:spacing w:val="-2"/>
          <w:sz w:val="24"/>
          <w:szCs w:val="24"/>
          <w:lang w:val="uk-UA" w:eastAsia="en-US"/>
        </w:rPr>
        <w:lastRenderedPageBreak/>
        <w:t xml:space="preserve">№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032EC8"/>
    <w:rsid w:val="001C013E"/>
    <w:rsid w:val="001F515A"/>
    <w:rsid w:val="00205291"/>
    <w:rsid w:val="002105B3"/>
    <w:rsid w:val="00244046"/>
    <w:rsid w:val="002E6186"/>
    <w:rsid w:val="00343AB0"/>
    <w:rsid w:val="00383300"/>
    <w:rsid w:val="004236EB"/>
    <w:rsid w:val="004354CB"/>
    <w:rsid w:val="0051508F"/>
    <w:rsid w:val="00570D84"/>
    <w:rsid w:val="005F7764"/>
    <w:rsid w:val="006E3C81"/>
    <w:rsid w:val="007B4929"/>
    <w:rsid w:val="007F7090"/>
    <w:rsid w:val="00820821"/>
    <w:rsid w:val="00882C5D"/>
    <w:rsid w:val="00903ABA"/>
    <w:rsid w:val="00913D29"/>
    <w:rsid w:val="00A21368"/>
    <w:rsid w:val="00A2608D"/>
    <w:rsid w:val="00A8570E"/>
    <w:rsid w:val="00A85F2D"/>
    <w:rsid w:val="00A90201"/>
    <w:rsid w:val="00B3761A"/>
    <w:rsid w:val="00B42AB7"/>
    <w:rsid w:val="00B8576C"/>
    <w:rsid w:val="00C40BF2"/>
    <w:rsid w:val="00CE7560"/>
    <w:rsid w:val="00D27E4D"/>
    <w:rsid w:val="00DC4A42"/>
    <w:rsid w:val="00DD3621"/>
    <w:rsid w:val="00E44A26"/>
    <w:rsid w:val="00F9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cp:lastPrinted>2023-10-04T07:02:00Z</cp:lastPrinted>
  <dcterms:created xsi:type="dcterms:W3CDTF">2024-02-28T06:16:00Z</dcterms:created>
  <dcterms:modified xsi:type="dcterms:W3CDTF">2024-02-28T06:16:00Z</dcterms:modified>
</cp:coreProperties>
</file>