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proofErr w:type="gramStart"/>
      <w:r w:rsidRPr="002E2B2A">
        <w:rPr>
          <w:rFonts w:ascii="Times New Roman" w:hAnsi="Times New Roman"/>
          <w:sz w:val="24"/>
          <w:szCs w:val="24"/>
        </w:rPr>
        <w:t>Р</w:t>
      </w:r>
      <w:proofErr w:type="gramEnd"/>
      <w:r w:rsidRPr="002E2B2A">
        <w:rPr>
          <w:rFonts w:ascii="Times New Roman" w:hAnsi="Times New Roman"/>
          <w:sz w:val="24"/>
          <w:szCs w:val="24"/>
        </w:rPr>
        <w:t>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0829E4" w:rsidRDefault="00F52A27" w:rsidP="001E7E6A">
      <w:pPr>
        <w:widowControl w:val="0"/>
        <w:spacing w:after="0" w:line="240" w:lineRule="auto"/>
        <w:ind w:firstLine="4820"/>
        <w:rPr>
          <w:rFonts w:ascii="Times New Roman" w:hAnsi="Times New Roman"/>
          <w:sz w:val="24"/>
          <w:szCs w:val="24"/>
          <w:lang w:val="uk-UA"/>
        </w:rPr>
      </w:pPr>
      <w:r w:rsidRPr="001675B4">
        <w:rPr>
          <w:rFonts w:ascii="Times New Roman" w:hAnsi="Times New Roman"/>
          <w:sz w:val="24"/>
          <w:szCs w:val="24"/>
        </w:rPr>
        <w:t xml:space="preserve">Протокол № </w:t>
      </w:r>
      <w:r w:rsidR="001675B4" w:rsidRPr="001675B4">
        <w:rPr>
          <w:rFonts w:ascii="Times New Roman" w:hAnsi="Times New Roman"/>
          <w:sz w:val="24"/>
          <w:szCs w:val="24"/>
          <w:lang w:val="uk-UA"/>
        </w:rPr>
        <w:t>01</w:t>
      </w:r>
      <w:r w:rsidRPr="001675B4">
        <w:rPr>
          <w:rFonts w:ascii="Times New Roman" w:hAnsi="Times New Roman"/>
          <w:sz w:val="24"/>
          <w:szCs w:val="24"/>
        </w:rPr>
        <w:t>0</w:t>
      </w:r>
      <w:r w:rsidR="001675B4" w:rsidRPr="001675B4">
        <w:rPr>
          <w:rFonts w:ascii="Times New Roman" w:hAnsi="Times New Roman"/>
          <w:sz w:val="24"/>
          <w:szCs w:val="24"/>
          <w:lang w:val="uk-UA"/>
        </w:rPr>
        <w:t>4</w:t>
      </w:r>
      <w:r w:rsidRPr="001675B4">
        <w:rPr>
          <w:rFonts w:ascii="Times New Roman" w:hAnsi="Times New Roman"/>
          <w:sz w:val="24"/>
          <w:szCs w:val="24"/>
        </w:rPr>
        <w:t>-23/</w:t>
      </w:r>
      <w:r w:rsidR="000829E4">
        <w:rPr>
          <w:rFonts w:ascii="Times New Roman" w:hAnsi="Times New Roman"/>
          <w:sz w:val="24"/>
          <w:szCs w:val="24"/>
          <w:lang w:val="uk-UA"/>
        </w:rPr>
        <w:t>2</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1675B4" w:rsidRPr="001675B4">
        <w:rPr>
          <w:rFonts w:ascii="Times New Roman" w:hAnsi="Times New Roman"/>
          <w:sz w:val="24"/>
          <w:szCs w:val="24"/>
          <w:lang w:val="uk-UA"/>
        </w:rPr>
        <w:t>01</w:t>
      </w:r>
      <w:r w:rsidRPr="001675B4">
        <w:rPr>
          <w:rFonts w:ascii="Times New Roman" w:hAnsi="Times New Roman"/>
          <w:sz w:val="24"/>
          <w:szCs w:val="24"/>
        </w:rPr>
        <w:t xml:space="preserve">» </w:t>
      </w:r>
      <w:r w:rsidR="001675B4" w:rsidRPr="001675B4">
        <w:rPr>
          <w:rFonts w:ascii="Times New Roman" w:hAnsi="Times New Roman"/>
          <w:sz w:val="24"/>
          <w:szCs w:val="24"/>
          <w:lang w:val="uk-UA"/>
        </w:rPr>
        <w:t>квітня</w:t>
      </w:r>
      <w:r w:rsidRPr="001675B4">
        <w:rPr>
          <w:rFonts w:ascii="Times New Roman" w:hAnsi="Times New Roman"/>
          <w:sz w:val="24"/>
          <w:szCs w:val="24"/>
        </w:rPr>
        <w:t xml:space="preserve"> 2023р.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Default="00F52A27" w:rsidP="002C3A2A">
      <w:pPr>
        <w:spacing w:before="240" w:after="0" w:line="240" w:lineRule="auto"/>
        <w:jc w:val="center"/>
        <w:rPr>
          <w:rFonts w:ascii="Times New Roman" w:hAnsi="Times New Roman"/>
          <w:b/>
          <w:bCs/>
          <w:sz w:val="28"/>
          <w:szCs w:val="28"/>
          <w:lang w:val="uk-UA" w:eastAsia="ru-RU"/>
        </w:rPr>
      </w:pPr>
    </w:p>
    <w:p w:rsidR="000829E4" w:rsidRPr="000829E4" w:rsidRDefault="000829E4" w:rsidP="000829E4">
      <w:pPr>
        <w:jc w:val="center"/>
        <w:rPr>
          <w:rFonts w:ascii="Times New Roman" w:hAnsi="Times New Roman"/>
          <w:b/>
          <w:bCs/>
          <w:sz w:val="28"/>
          <w:szCs w:val="28"/>
          <w:lang w:val="uk-UA" w:eastAsia="ru-RU"/>
        </w:rPr>
      </w:pPr>
      <w:r w:rsidRPr="000829E4">
        <w:rPr>
          <w:rFonts w:ascii="Times New Roman" w:hAnsi="Times New Roman"/>
          <w:b/>
          <w:bCs/>
          <w:sz w:val="28"/>
          <w:szCs w:val="28"/>
          <w:lang w:val="uk-UA" w:eastAsia="ru-RU"/>
        </w:rPr>
        <w:t>Труни меблеві за кодом CPV ДК 021:2015 – Фурнітура різна – за кодом CPV за ДК 021:2015 – 39290000-1</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F52A27" w:rsidRPr="00E01FBF"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F52A27" w:rsidRPr="006B2A7A"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Pr>
          <w:rFonts w:ascii="Times New Roman" w:hAnsi="Times New Roman"/>
          <w:b/>
          <w:bCs/>
          <w:sz w:val="24"/>
          <w:szCs w:val="24"/>
          <w:lang w:val="uk-UA"/>
        </w:rPr>
        <w:t>3</w:t>
      </w:r>
    </w:p>
    <w:p w:rsidR="00F52A27" w:rsidRDefault="00F52A27" w:rsidP="002C3A2A">
      <w:pPr>
        <w:widowControl w:val="0"/>
        <w:jc w:val="center"/>
        <w:rPr>
          <w:rFonts w:ascii="Times New Roman" w:hAnsi="Times New Roman"/>
          <w:b/>
          <w:bCs/>
          <w:sz w:val="24"/>
          <w:szCs w:val="24"/>
          <w:lang w:val="uk-UA"/>
        </w:rPr>
      </w:pPr>
    </w:p>
    <w:p w:rsidR="00F52A27" w:rsidRPr="00BD24F1" w:rsidRDefault="00F52A27"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lastRenderedPageBreak/>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0829E4"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6"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0829E4" w:rsidRPr="000829E4" w:rsidRDefault="000829E4" w:rsidP="000829E4">
            <w:pPr>
              <w:rPr>
                <w:rFonts w:ascii="Times New Roman" w:hAnsi="Times New Roman"/>
                <w:sz w:val="24"/>
                <w:szCs w:val="24"/>
                <w:lang w:val="uk-UA"/>
              </w:rPr>
            </w:pPr>
            <w:r w:rsidRPr="000829E4">
              <w:rPr>
                <w:rFonts w:ascii="Times New Roman" w:hAnsi="Times New Roman"/>
                <w:sz w:val="24"/>
                <w:szCs w:val="24"/>
                <w:lang w:val="uk-UA"/>
              </w:rPr>
              <w:t>Труни меблеві за кодом CPV ДК 021:2015 – Фурнітура різна – за кодом CPV за ДК 021:2015 – 39290000-1</w:t>
            </w:r>
          </w:p>
          <w:p w:rsidR="00F52A27" w:rsidRPr="00EB7900" w:rsidRDefault="00F52A27" w:rsidP="00EB7900">
            <w:pPr>
              <w:spacing w:after="0" w:line="240" w:lineRule="auto"/>
              <w:jc w:val="both"/>
              <w:rPr>
                <w:rFonts w:ascii="Times New Roman" w:hAnsi="Times New Roman"/>
                <w:iCs/>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0829E4" w:rsidRPr="000829E4" w:rsidRDefault="000829E4" w:rsidP="000829E4">
            <w:pPr>
              <w:pStyle w:val="a4"/>
              <w:numPr>
                <w:ilvl w:val="0"/>
                <w:numId w:val="34"/>
              </w:numPr>
              <w:spacing w:after="0" w:line="240" w:lineRule="auto"/>
              <w:rPr>
                <w:rFonts w:ascii="Times New Roman" w:hAnsi="Times New Roman"/>
                <w:color w:val="000000"/>
                <w:sz w:val="24"/>
                <w:szCs w:val="24"/>
                <w:lang w:val="uk-UA" w:eastAsia="ru-RU"/>
              </w:rPr>
            </w:pPr>
            <w:r w:rsidRPr="000829E4">
              <w:rPr>
                <w:rFonts w:ascii="Times New Roman" w:hAnsi="Times New Roman"/>
                <w:color w:val="000000"/>
                <w:sz w:val="24"/>
                <w:szCs w:val="24"/>
                <w:lang w:val="uk-UA" w:eastAsia="ru-RU"/>
              </w:rPr>
              <w:t>Труни чотиригранні меблеві лаковані з обойною вставкою – 140 шт.;</w:t>
            </w:r>
          </w:p>
          <w:p w:rsidR="000829E4" w:rsidRPr="000829E4" w:rsidRDefault="000829E4" w:rsidP="000829E4">
            <w:pPr>
              <w:pStyle w:val="a4"/>
              <w:numPr>
                <w:ilvl w:val="0"/>
                <w:numId w:val="34"/>
              </w:numPr>
              <w:spacing w:after="0" w:line="240" w:lineRule="auto"/>
              <w:rPr>
                <w:rFonts w:ascii="Times New Roman" w:hAnsi="Times New Roman"/>
                <w:color w:val="000000"/>
                <w:sz w:val="24"/>
                <w:szCs w:val="24"/>
                <w:lang w:val="uk-UA" w:eastAsia="ru-RU"/>
              </w:rPr>
            </w:pPr>
            <w:r w:rsidRPr="000829E4">
              <w:rPr>
                <w:rFonts w:ascii="Times New Roman" w:hAnsi="Times New Roman"/>
                <w:color w:val="000000"/>
                <w:sz w:val="24"/>
                <w:szCs w:val="24"/>
                <w:lang w:val="uk-UA" w:eastAsia="ru-RU"/>
              </w:rPr>
              <w:t>Труни  шестигранні меблеві лаковані з обойною вставкою – 140 шт.;</w:t>
            </w:r>
          </w:p>
          <w:p w:rsidR="000829E4" w:rsidRPr="000829E4" w:rsidRDefault="000829E4" w:rsidP="000829E4">
            <w:pPr>
              <w:pStyle w:val="a4"/>
              <w:numPr>
                <w:ilvl w:val="0"/>
                <w:numId w:val="34"/>
              </w:numPr>
              <w:spacing w:after="0" w:line="240" w:lineRule="auto"/>
              <w:rPr>
                <w:rFonts w:ascii="Times New Roman" w:hAnsi="Times New Roman"/>
                <w:color w:val="000000"/>
                <w:sz w:val="24"/>
                <w:szCs w:val="24"/>
                <w:lang w:val="uk-UA" w:eastAsia="ru-RU"/>
              </w:rPr>
            </w:pPr>
            <w:r w:rsidRPr="000829E4">
              <w:rPr>
                <w:rFonts w:ascii="Times New Roman" w:hAnsi="Times New Roman"/>
                <w:color w:val="000000"/>
                <w:sz w:val="24"/>
                <w:szCs w:val="24"/>
                <w:lang w:val="uk-UA" w:eastAsia="ru-RU"/>
              </w:rPr>
              <w:t xml:space="preserve">Труни  восьмигранні меблеві лаковані з обойною вставкою  - 50 шт.; </w:t>
            </w:r>
          </w:p>
          <w:p w:rsidR="000829E4" w:rsidRPr="000829E4" w:rsidRDefault="000829E4" w:rsidP="000829E4">
            <w:pPr>
              <w:pStyle w:val="a4"/>
              <w:numPr>
                <w:ilvl w:val="0"/>
                <w:numId w:val="34"/>
              </w:numPr>
              <w:spacing w:after="0" w:line="240" w:lineRule="auto"/>
              <w:rPr>
                <w:rFonts w:ascii="Times New Roman" w:hAnsi="Times New Roman"/>
                <w:color w:val="000000"/>
                <w:sz w:val="24"/>
                <w:szCs w:val="24"/>
                <w:lang w:val="uk-UA" w:eastAsia="ru-RU"/>
              </w:rPr>
            </w:pPr>
            <w:r w:rsidRPr="000829E4">
              <w:rPr>
                <w:rFonts w:ascii="Times New Roman" w:hAnsi="Times New Roman"/>
                <w:color w:val="000000"/>
                <w:sz w:val="24"/>
                <w:szCs w:val="24"/>
                <w:lang w:val="uk-UA" w:eastAsia="ru-RU"/>
              </w:rPr>
              <w:t>Труни шестикутні драпіровані тканиною бархат – 70 шт.;</w:t>
            </w:r>
          </w:p>
          <w:p w:rsidR="000829E4" w:rsidRPr="000829E4" w:rsidRDefault="000829E4" w:rsidP="000829E4">
            <w:pPr>
              <w:pStyle w:val="a4"/>
              <w:numPr>
                <w:ilvl w:val="0"/>
                <w:numId w:val="34"/>
              </w:numPr>
              <w:spacing w:after="0" w:line="240" w:lineRule="auto"/>
              <w:rPr>
                <w:rFonts w:ascii="Times New Roman" w:hAnsi="Times New Roman"/>
                <w:color w:val="000000"/>
                <w:sz w:val="24"/>
                <w:szCs w:val="24"/>
                <w:lang w:val="uk-UA" w:eastAsia="ru-RU"/>
              </w:rPr>
            </w:pPr>
            <w:r w:rsidRPr="000829E4">
              <w:rPr>
                <w:rFonts w:ascii="Times New Roman" w:hAnsi="Times New Roman"/>
                <w:color w:val="000000"/>
                <w:sz w:val="24"/>
                <w:szCs w:val="24"/>
                <w:lang w:val="uk-UA" w:eastAsia="ru-RU"/>
              </w:rPr>
              <w:t>Труни оздоблені декоративною різьбою – 30 шт.</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bookmarkStart w:id="0" w:name="_GoBack"/>
            <w:bookmarkEnd w:id="0"/>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31.12.2023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B7900">
              <w:rPr>
                <w:rFonts w:ascii="Times New Roman" w:hAnsi="Times New Roman"/>
                <w:sz w:val="24"/>
                <w:szCs w:val="24"/>
                <w:lang w:val="uk-UA" w:eastAsia="ru-RU"/>
              </w:rPr>
              <w:t>закуповуються</w:t>
            </w:r>
            <w:proofErr w:type="spellEnd"/>
            <w:r w:rsidRPr="00EB7900">
              <w:rPr>
                <w:rFonts w:ascii="Times New Roman" w:hAnsi="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B7900">
              <w:rPr>
                <w:rFonts w:ascii="Times New Roman" w:hAnsi="Times New Roman"/>
                <w:sz w:val="24"/>
                <w:szCs w:val="24"/>
                <w:lang w:val="uk-UA" w:eastAsia="ru-RU"/>
              </w:rPr>
              <w:t>інтернет</w:t>
            </w:r>
            <w:proofErr w:type="spellEnd"/>
            <w:r w:rsidRPr="00EB7900">
              <w:rPr>
                <w:rFonts w:ascii="Times New Roman" w:hAnsi="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EB7900">
              <w:rPr>
                <w:rFonts w:ascii="Times New Roman" w:hAnsi="Times New Roman"/>
                <w:sz w:val="24"/>
                <w:szCs w:val="24"/>
                <w:lang w:val="uk-UA" w:eastAsia="ru-RU"/>
              </w:rPr>
              <w:t>.Тендерна</w:t>
            </w:r>
            <w:proofErr w:type="spellEnd"/>
            <w:r w:rsidRPr="00EB7900">
              <w:rPr>
                <w:rFonts w:ascii="Times New Roman" w:hAnsi="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F52A27" w:rsidRPr="00EB7900" w:rsidRDefault="00F52A27" w:rsidP="00EB7900">
            <w:pPr>
              <w:spacing w:before="150" w:after="15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B7900">
              <w:rPr>
                <w:rFonts w:ascii="Times New Roman" w:hAnsi="Times New Roman"/>
                <w:sz w:val="24"/>
                <w:szCs w:val="24"/>
                <w:lang w:val="uk-UA"/>
              </w:rPr>
              <w:lastRenderedPageBreak/>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пункті 44 Особливостей та відповідність умовам зазначеним в тендерній документації, шляхом завантаження файлів в сканованому вигляді у форматі </w:t>
            </w:r>
            <w:r w:rsidRPr="00EB7900">
              <w:rPr>
                <w:rFonts w:ascii="Times New Roman" w:hAnsi="Times New Roman"/>
                <w:sz w:val="24"/>
                <w:szCs w:val="24"/>
              </w:rPr>
              <w:t>PDF</w:t>
            </w:r>
            <w:r w:rsidRPr="00EB7900">
              <w:rPr>
                <w:rFonts w:ascii="Times New Roman" w:hAnsi="Times New Roman"/>
                <w:sz w:val="24"/>
                <w:szCs w:val="24"/>
                <w:lang w:val="uk-UA"/>
              </w:rPr>
              <w:t xml:space="preserve"> або </w:t>
            </w:r>
            <w:r w:rsidRPr="00EB7900">
              <w:rPr>
                <w:rFonts w:ascii="Times New Roman" w:hAnsi="Times New Roman"/>
                <w:sz w:val="24"/>
                <w:szCs w:val="24"/>
              </w:rPr>
              <w:t>JPEG</w:t>
            </w:r>
            <w:r w:rsidRPr="00EB7900">
              <w:rPr>
                <w:rFonts w:ascii="Times New Roman" w:hAnsi="Times New Roman"/>
                <w:sz w:val="24"/>
                <w:szCs w:val="24"/>
                <w:lang w:val="uk-UA"/>
              </w:rPr>
              <w:t xml:space="preserve">,  а у разі необхідності файлах-архівах у форматах </w:t>
            </w:r>
            <w:r w:rsidRPr="00EB7900">
              <w:rPr>
                <w:rFonts w:ascii="Times New Roman" w:hAnsi="Times New Roman"/>
                <w:sz w:val="24"/>
                <w:szCs w:val="24"/>
              </w:rPr>
              <w:t>RAR</w:t>
            </w:r>
            <w:r w:rsidRPr="00EB7900">
              <w:rPr>
                <w:rFonts w:ascii="Times New Roman" w:hAnsi="Times New Roman"/>
                <w:sz w:val="24"/>
                <w:szCs w:val="24"/>
                <w:lang w:val="uk-UA"/>
              </w:rPr>
              <w:t xml:space="preserve"> або </w:t>
            </w:r>
            <w:r w:rsidRPr="00EB7900">
              <w:rPr>
                <w:rFonts w:ascii="Times New Roman" w:hAnsi="Times New Roman"/>
                <w:sz w:val="24"/>
                <w:szCs w:val="24"/>
              </w:rPr>
              <w:t>ZIP</w:t>
            </w:r>
            <w:r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інформацією про відсутність підстав у відмові в участі у процедурі закупівлі, визначених в пункті 44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lastRenderedPageBreak/>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w:t>
            </w:r>
            <w:proofErr w:type="gramStart"/>
            <w:r w:rsidRPr="00EB7900">
              <w:rPr>
                <w:rFonts w:ascii="Times New Roman" w:hAnsi="Times New Roman"/>
                <w:sz w:val="24"/>
                <w:szCs w:val="24"/>
                <w:lang w:eastAsia="ru-RU"/>
              </w:rPr>
              <w:t>ПН</w:t>
            </w:r>
            <w:proofErr w:type="gramEnd"/>
            <w:r w:rsidRPr="00EB7900">
              <w:rPr>
                <w:rFonts w:ascii="Times New Roman" w:hAnsi="Times New Roman"/>
                <w:sz w:val="24"/>
                <w:szCs w:val="24"/>
                <w:lang w:eastAsia="ru-RU"/>
              </w:rPr>
              <w:t>;</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proofErr w:type="gramStart"/>
            <w:r w:rsidRPr="00EB7900">
              <w:rPr>
                <w:rFonts w:ascii="Times New Roman" w:hAnsi="Times New Roman"/>
                <w:sz w:val="24"/>
                <w:szCs w:val="24"/>
                <w:lang w:eastAsia="ru-RU"/>
              </w:rPr>
              <w:t>п</w:t>
            </w:r>
            <w:proofErr w:type="gramEnd"/>
            <w:r w:rsidRPr="00EB7900">
              <w:rPr>
                <w:rFonts w:ascii="Times New Roman" w:hAnsi="Times New Roman"/>
                <w:sz w:val="24"/>
                <w:szCs w:val="24"/>
                <w:lang w:eastAsia="ru-RU"/>
              </w:rPr>
              <w:t>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w:t>
            </w:r>
            <w:proofErr w:type="gramStart"/>
            <w:r w:rsidRPr="00EB7900">
              <w:rPr>
                <w:rFonts w:ascii="Times New Roman" w:hAnsi="Times New Roman"/>
                <w:sz w:val="24"/>
                <w:szCs w:val="24"/>
                <w:lang w:eastAsia="ru-RU"/>
              </w:rPr>
              <w:t>у</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EB7900">
              <w:rPr>
                <w:rFonts w:ascii="Times New Roman" w:hAnsi="Times New Roman"/>
                <w:bCs/>
                <w:sz w:val="24"/>
                <w:szCs w:val="24"/>
                <w:lang w:val="uk-UA" w:eastAsia="ru-RU"/>
              </w:rPr>
              <w:lastRenderedPageBreak/>
              <w:t>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7"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w:t>
            </w:r>
            <w:r w:rsidRPr="00EB7900">
              <w:rPr>
                <w:rFonts w:ascii="Times New Roman" w:hAnsi="Times New Roman"/>
                <w:bCs/>
                <w:sz w:val="24"/>
                <w:szCs w:val="24"/>
                <w:lang w:val="uk-UA" w:eastAsia="ru-RU"/>
              </w:rPr>
              <w:lastRenderedPageBreak/>
              <w:t>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w:t>
            </w:r>
            <w:proofErr w:type="gramStart"/>
            <w:r w:rsidRPr="001675B4">
              <w:rPr>
                <w:rFonts w:ascii="Times New Roman" w:eastAsia="SimSun" w:hAnsi="Times New Roman"/>
                <w:color w:val="000000"/>
                <w:kern w:val="2"/>
                <w:sz w:val="24"/>
                <w:szCs w:val="24"/>
                <w:lang w:eastAsia="zh-CN" w:bidi="hi-IN"/>
              </w:rPr>
              <w:t>в</w:t>
            </w:r>
            <w:proofErr w:type="spellEnd"/>
            <w:proofErr w:type="gram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44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t xml:space="preserve">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w:t>
            </w:r>
            <w:r w:rsidRPr="00EB7900">
              <w:rPr>
                <w:rFonts w:ascii="Times New Roman" w:hAnsi="Times New Roman"/>
                <w:sz w:val="24"/>
                <w:szCs w:val="24"/>
                <w:lang w:val="uk-UA" w:eastAsia="ru-RU"/>
              </w:rPr>
              <w:lastRenderedPageBreak/>
              <w:t>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w:t>
            </w:r>
            <w:proofErr w:type="gramStart"/>
            <w:r w:rsidRPr="00EB7900">
              <w:rPr>
                <w:rFonts w:ascii="Times New Roman" w:hAnsi="Times New Roman"/>
                <w:sz w:val="24"/>
                <w:szCs w:val="24"/>
                <w:lang w:eastAsia="ru-RU"/>
              </w:rPr>
              <w:t>чинного</w:t>
            </w:r>
            <w:proofErr w:type="gram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3"/>
                <w:szCs w:val="23"/>
                <w:lang w:val="uk-UA" w:eastAsia="ru-RU"/>
              </w:rPr>
            </w:pPr>
            <w:proofErr w:type="spellStart"/>
            <w:r w:rsidRPr="00EB7900">
              <w:rPr>
                <w:rFonts w:ascii="Times New Roman" w:hAnsi="Times New Roman"/>
                <w:sz w:val="23"/>
                <w:szCs w:val="23"/>
                <w:lang w:eastAsia="ru-RU"/>
              </w:rPr>
              <w:t>Переможець</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процедури закупі</w:t>
            </w:r>
            <w:proofErr w:type="gramStart"/>
            <w:r w:rsidRPr="00EB7900">
              <w:rPr>
                <w:rFonts w:ascii="Times New Roman" w:hAnsi="Times New Roman"/>
                <w:sz w:val="23"/>
                <w:szCs w:val="23"/>
                <w:lang w:val="uk-UA" w:eastAsia="ru-RU"/>
              </w:rPr>
              <w:t>вл</w:t>
            </w:r>
            <w:proofErr w:type="gramEnd"/>
            <w:r w:rsidRPr="00EB7900">
              <w:rPr>
                <w:rFonts w:ascii="Times New Roman" w:hAnsi="Times New Roman"/>
                <w:sz w:val="23"/>
                <w:szCs w:val="23"/>
                <w:lang w:val="uk-UA" w:eastAsia="ru-RU"/>
              </w:rPr>
              <w:t>і</w:t>
            </w:r>
            <w:r w:rsidRPr="00EB7900">
              <w:rPr>
                <w:rFonts w:ascii="Times New Roman" w:hAnsi="Times New Roman"/>
                <w:sz w:val="23"/>
                <w:szCs w:val="23"/>
                <w:lang w:eastAsia="ru-RU"/>
              </w:rPr>
              <w:t xml:space="preserve">, у строк, </w:t>
            </w:r>
            <w:proofErr w:type="spellStart"/>
            <w:r w:rsidRPr="00EB7900">
              <w:rPr>
                <w:rFonts w:ascii="Times New Roman" w:hAnsi="Times New Roman"/>
                <w:sz w:val="23"/>
                <w:szCs w:val="23"/>
                <w:lang w:eastAsia="ru-RU"/>
              </w:rPr>
              <w:t>що</w:t>
            </w:r>
            <w:proofErr w:type="spellEnd"/>
            <w:r w:rsidRPr="00EB7900">
              <w:rPr>
                <w:rFonts w:ascii="Times New Roman" w:hAnsi="Times New Roman"/>
                <w:sz w:val="23"/>
                <w:szCs w:val="23"/>
                <w:lang w:eastAsia="ru-RU"/>
              </w:rPr>
              <w:t xml:space="preserve"> не </w:t>
            </w:r>
            <w:proofErr w:type="spellStart"/>
            <w:r w:rsidRPr="00EB7900">
              <w:rPr>
                <w:rFonts w:ascii="Times New Roman" w:hAnsi="Times New Roman"/>
                <w:sz w:val="23"/>
                <w:szCs w:val="23"/>
                <w:lang w:eastAsia="ru-RU"/>
              </w:rPr>
              <w:t>перевищує</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чотири</w:t>
            </w:r>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дні</w:t>
            </w:r>
            <w:proofErr w:type="spellEnd"/>
            <w:r w:rsidRPr="00EB7900">
              <w:rPr>
                <w:rFonts w:ascii="Times New Roman" w:hAnsi="Times New Roman"/>
                <w:sz w:val="23"/>
                <w:szCs w:val="23"/>
                <w:lang w:eastAsia="ru-RU"/>
              </w:rPr>
              <w:t xml:space="preserve"> з </w:t>
            </w:r>
            <w:proofErr w:type="spellStart"/>
            <w:r w:rsidRPr="00EB7900">
              <w:rPr>
                <w:rFonts w:ascii="Times New Roman" w:hAnsi="Times New Roman"/>
                <w:sz w:val="23"/>
                <w:szCs w:val="23"/>
                <w:lang w:eastAsia="ru-RU"/>
              </w:rPr>
              <w:t>дати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оприлюднення</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в електронній системі закупівель</w:t>
            </w:r>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повідомлення</w:t>
            </w:r>
            <w:proofErr w:type="spellEnd"/>
            <w:r w:rsidRPr="00EB7900">
              <w:rPr>
                <w:rFonts w:ascii="Times New Roman" w:hAnsi="Times New Roman"/>
                <w:sz w:val="23"/>
                <w:szCs w:val="23"/>
                <w:lang w:eastAsia="ru-RU"/>
              </w:rPr>
              <w:t xml:space="preserve"> про </w:t>
            </w:r>
            <w:proofErr w:type="spellStart"/>
            <w:r w:rsidRPr="00EB7900">
              <w:rPr>
                <w:rFonts w:ascii="Times New Roman" w:hAnsi="Times New Roman"/>
                <w:sz w:val="23"/>
                <w:szCs w:val="23"/>
                <w:lang w:eastAsia="ru-RU"/>
              </w:rPr>
              <w:t>намір</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укласти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договір</w:t>
            </w:r>
            <w:proofErr w:type="spellEnd"/>
            <w:r w:rsidRPr="00EB7900">
              <w:rPr>
                <w:rFonts w:ascii="Times New Roman" w:hAnsi="Times New Roman"/>
                <w:sz w:val="23"/>
                <w:szCs w:val="23"/>
                <w:lang w:val="uk-UA" w:eastAsia="ru-RU"/>
              </w:rPr>
              <w:t xml:space="preserve"> про закупівлю</w:t>
            </w:r>
            <w:r w:rsidRPr="00EB7900">
              <w:rPr>
                <w:rFonts w:ascii="Times New Roman" w:hAnsi="Times New Roman"/>
                <w:sz w:val="23"/>
                <w:szCs w:val="23"/>
                <w:lang w:eastAsia="ru-RU"/>
              </w:rPr>
              <w:t xml:space="preserve">, повинен </w:t>
            </w:r>
            <w:proofErr w:type="spellStart"/>
            <w:r w:rsidRPr="00EB7900">
              <w:rPr>
                <w:rFonts w:ascii="Times New Roman" w:hAnsi="Times New Roman"/>
                <w:sz w:val="23"/>
                <w:szCs w:val="23"/>
                <w:lang w:eastAsia="ru-RU"/>
              </w:rPr>
              <w:t>надати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замовнику</w:t>
            </w:r>
            <w:proofErr w:type="spellEnd"/>
            <w:r w:rsidRPr="00EB7900">
              <w:rPr>
                <w:rFonts w:ascii="Times New Roman" w:hAnsi="Times New Roman"/>
                <w:sz w:val="23"/>
                <w:szCs w:val="23"/>
                <w:lang w:eastAsia="ru-RU"/>
              </w:rPr>
              <w:t xml:space="preserve"> шляхом </w:t>
            </w:r>
            <w:proofErr w:type="spellStart"/>
            <w:r w:rsidRPr="00EB7900">
              <w:rPr>
                <w:rFonts w:ascii="Times New Roman" w:hAnsi="Times New Roman"/>
                <w:sz w:val="23"/>
                <w:szCs w:val="23"/>
                <w:lang w:eastAsia="ru-RU"/>
              </w:rPr>
              <w:t>оприлюднення</w:t>
            </w:r>
            <w:proofErr w:type="spellEnd"/>
            <w:r w:rsidRPr="00EB7900">
              <w:rPr>
                <w:rFonts w:ascii="Times New Roman" w:hAnsi="Times New Roman"/>
                <w:sz w:val="23"/>
                <w:szCs w:val="23"/>
                <w:lang w:eastAsia="ru-RU"/>
              </w:rPr>
              <w:t xml:space="preserve"> в </w:t>
            </w:r>
            <w:proofErr w:type="spellStart"/>
            <w:r w:rsidRPr="00EB7900">
              <w:rPr>
                <w:rFonts w:ascii="Times New Roman" w:hAnsi="Times New Roman"/>
                <w:sz w:val="23"/>
                <w:szCs w:val="23"/>
                <w:lang w:eastAsia="ru-RU"/>
              </w:rPr>
              <w:t>електронній</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системі</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закупівель</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документи</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встановлені</w:t>
            </w:r>
            <w:proofErr w:type="spellEnd"/>
            <w:r w:rsidRPr="00EB7900">
              <w:rPr>
                <w:rFonts w:ascii="Times New Roman" w:hAnsi="Times New Roman"/>
                <w:sz w:val="23"/>
                <w:szCs w:val="23"/>
                <w:lang w:eastAsia="ru-RU"/>
              </w:rPr>
              <w:t xml:space="preserve"> в </w:t>
            </w:r>
            <w:proofErr w:type="spellStart"/>
            <w:r w:rsidRPr="00EB7900">
              <w:rPr>
                <w:rFonts w:ascii="Times New Roman" w:hAnsi="Times New Roman"/>
                <w:sz w:val="23"/>
                <w:szCs w:val="23"/>
                <w:lang w:eastAsia="ru-RU"/>
              </w:rPr>
              <w:t>Додатку</w:t>
            </w:r>
            <w:proofErr w:type="spellEnd"/>
            <w:r w:rsidRPr="00EB7900">
              <w:rPr>
                <w:rFonts w:ascii="Times New Roman" w:hAnsi="Times New Roman"/>
                <w:sz w:val="23"/>
                <w:szCs w:val="23"/>
                <w:lang w:eastAsia="ru-RU"/>
              </w:rPr>
              <w:t xml:space="preserve"> №</w:t>
            </w:r>
            <w:r w:rsidRPr="00EB7900">
              <w:rPr>
                <w:rFonts w:ascii="Times New Roman" w:hAnsi="Times New Roman"/>
                <w:sz w:val="23"/>
                <w:szCs w:val="23"/>
                <w:lang w:val="uk-UA" w:eastAsia="ru-RU"/>
              </w:rPr>
              <w:t>1</w:t>
            </w:r>
            <w:r w:rsidRPr="00EB7900">
              <w:rPr>
                <w:rFonts w:ascii="Times New Roman" w:hAnsi="Times New Roman"/>
                <w:sz w:val="23"/>
                <w:szCs w:val="23"/>
                <w:lang w:eastAsia="ru-RU"/>
              </w:rPr>
              <w:t xml:space="preserve"> до </w:t>
            </w:r>
            <w:proofErr w:type="spellStart"/>
            <w:r w:rsidRPr="00EB7900">
              <w:rPr>
                <w:rFonts w:ascii="Times New Roman" w:hAnsi="Times New Roman"/>
                <w:sz w:val="23"/>
                <w:szCs w:val="23"/>
                <w:lang w:eastAsia="ru-RU"/>
              </w:rPr>
              <w:t>тендерної</w:t>
            </w:r>
            <w:proofErr w:type="spellEnd"/>
            <w:r w:rsidRPr="00EB7900">
              <w:rPr>
                <w:rFonts w:ascii="Times New Roman" w:hAnsi="Times New Roman"/>
                <w:sz w:val="23"/>
                <w:szCs w:val="23"/>
                <w:lang w:eastAsia="ru-RU"/>
              </w:rPr>
              <w:t xml:space="preserve"> </w:t>
            </w:r>
            <w:proofErr w:type="spellStart"/>
            <w:r w:rsidRPr="00EB7900">
              <w:rPr>
                <w:rFonts w:ascii="Times New Roman" w:hAnsi="Times New Roman"/>
                <w:sz w:val="23"/>
                <w:szCs w:val="23"/>
                <w:lang w:eastAsia="ru-RU"/>
              </w:rPr>
              <w:t>документації</w:t>
            </w:r>
            <w:proofErr w:type="spellEnd"/>
            <w:r w:rsidRPr="00EB7900">
              <w:rPr>
                <w:rFonts w:ascii="Times New Roman" w:hAnsi="Times New Roman"/>
                <w:sz w:val="23"/>
                <w:szCs w:val="23"/>
                <w:lang w:eastAsia="ru-RU"/>
              </w:rPr>
              <w:t xml:space="preserve"> (для </w:t>
            </w:r>
            <w:proofErr w:type="spellStart"/>
            <w:r w:rsidRPr="00EB7900">
              <w:rPr>
                <w:rFonts w:ascii="Times New Roman" w:hAnsi="Times New Roman"/>
                <w:sz w:val="23"/>
                <w:szCs w:val="23"/>
                <w:lang w:eastAsia="ru-RU"/>
              </w:rPr>
              <w:t>переможця</w:t>
            </w:r>
            <w:proofErr w:type="spellEnd"/>
            <w:r w:rsidRPr="00EB7900">
              <w:rPr>
                <w:rFonts w:ascii="Times New Roman" w:hAnsi="Times New Roman"/>
                <w:sz w:val="23"/>
                <w:szCs w:val="23"/>
                <w:lang w:eastAsia="ru-RU"/>
              </w:rPr>
              <w:t xml:space="preserve">). </w:t>
            </w:r>
          </w:p>
          <w:p w:rsidR="00F52A27" w:rsidRPr="00EB7900" w:rsidRDefault="00F52A27" w:rsidP="00EB7900">
            <w:pPr>
              <w:widowControl w:val="0"/>
              <w:spacing w:after="0" w:line="240" w:lineRule="auto"/>
              <w:ind w:left="40" w:hanging="20"/>
              <w:contextualSpacing/>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1" w:name="_Hlk37757836"/>
            <w:r w:rsidRPr="00EB7900">
              <w:rPr>
                <w:rFonts w:ascii="Times New Roman" w:hAnsi="Times New Roman"/>
                <w:b/>
                <w:bCs/>
                <w:color w:val="000000"/>
                <w:sz w:val="24"/>
                <w:szCs w:val="24"/>
                <w:lang w:val="uk-UA" w:eastAsia="ru-RU"/>
              </w:rPr>
              <w:t>Забезпечення тендерної пропозиції</w:t>
            </w:r>
            <w:bookmarkEnd w:id="1"/>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0829E4"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0829E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44  Особливостей</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eastAsia="ru-RU"/>
              </w:rPr>
            </w:pPr>
            <w:r w:rsidRPr="00EB7900">
              <w:rPr>
                <w:rFonts w:ascii="Times New Roman" w:hAnsi="Times New Roman"/>
                <w:sz w:val="24"/>
                <w:szCs w:val="24"/>
                <w:lang w:val="uk-UA" w:eastAsia="ru-RU"/>
              </w:rPr>
              <w:t>Підстави, визначені пунктом 44 Особливостей</w:t>
            </w:r>
            <w:r w:rsidRPr="00EB7900">
              <w:rPr>
                <w:rFonts w:ascii="Times New Roman" w:hAnsi="Times New Roman"/>
                <w:sz w:val="24"/>
                <w:szCs w:val="24"/>
                <w:lang w:eastAsia="ru-RU"/>
              </w:rPr>
              <w:t>.</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 замовник має незаперечні докази того, що учасник </w:t>
            </w:r>
            <w:r w:rsidRPr="00EB7900">
              <w:rPr>
                <w:rFonts w:ascii="Times New Roman" w:hAnsi="Times New Roman"/>
                <w:sz w:val="24"/>
                <w:szCs w:val="24"/>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7900">
              <w:rPr>
                <w:rFonts w:ascii="Times New Roman" w:hAnsi="Times New Roman"/>
                <w:sz w:val="24"/>
                <w:szCs w:val="24"/>
                <w:lang w:val="uk-UA"/>
              </w:rPr>
              <w:t>антиконкурентних</w:t>
            </w:r>
            <w:proofErr w:type="spellEnd"/>
            <w:r w:rsidRPr="00EB7900">
              <w:rPr>
                <w:rFonts w:ascii="Times New Roman" w:hAnsi="Times New Roman"/>
                <w:sz w:val="24"/>
                <w:szCs w:val="24"/>
                <w:lang w:val="uk-UA"/>
              </w:rPr>
              <w:t xml:space="preserve">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EB7900">
              <w:rPr>
                <w:rFonts w:ascii="Times New Roman" w:hAnsi="Times New Roman"/>
                <w:sz w:val="24"/>
                <w:szCs w:val="24"/>
                <w:lang w:val="uk-UA"/>
              </w:rPr>
              <w:lastRenderedPageBreak/>
              <w:t xml:space="preserve">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EB7900">
              <w:rPr>
                <w:rFonts w:ascii="Times New Roman" w:hAnsi="Times New Roman"/>
                <w:sz w:val="24"/>
                <w:szCs w:val="24"/>
                <w:lang w:val="uk-UA" w:eastAsia="ru-RU"/>
              </w:rPr>
              <w:lastRenderedPageBreak/>
              <w:t>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B7900">
              <w:rPr>
                <w:rFonts w:ascii="Times New Roman" w:hAnsi="Times New Roman"/>
                <w:b/>
                <w:bCs/>
                <w:i/>
                <w:iCs/>
                <w:sz w:val="24"/>
                <w:szCs w:val="24"/>
                <w:lang w:val="uk-UA"/>
              </w:rPr>
              <w:t>протягом 24 годин</w:t>
            </w:r>
            <w:r w:rsidRPr="00EB7900">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rPr>
              <w:t>невиправлення</w:t>
            </w:r>
            <w:proofErr w:type="spellEnd"/>
            <w:r w:rsidRPr="00EB7900">
              <w:rPr>
                <w:rFonts w:ascii="Times New Roman" w:hAnsi="Times New Roman"/>
                <w:sz w:val="24"/>
                <w:szCs w:val="24"/>
                <w:lang w:val="uk-UA"/>
              </w:rPr>
              <w:t xml:space="preserve"> учасниками виявлених невідповідностей.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0829E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1675B4">
              <w:rPr>
                <w:rFonts w:ascii="Times New Roman" w:hAnsi="Times New Roman"/>
                <w:sz w:val="24"/>
                <w:szCs w:val="24"/>
                <w:lang w:val="uk-UA" w:eastAsia="ru-RU"/>
              </w:rPr>
              <w:t>10</w:t>
            </w:r>
            <w:r w:rsidRPr="00EB7900">
              <w:rPr>
                <w:rFonts w:ascii="Times New Roman" w:hAnsi="Times New Roman"/>
                <w:sz w:val="24"/>
                <w:szCs w:val="24"/>
                <w:lang w:val="uk-UA" w:eastAsia="ru-RU"/>
              </w:rPr>
              <w:t>.0</w:t>
            </w:r>
            <w:r w:rsidR="001675B4">
              <w:rPr>
                <w:rFonts w:ascii="Times New Roman" w:hAnsi="Times New Roman"/>
                <w:sz w:val="24"/>
                <w:szCs w:val="24"/>
                <w:lang w:val="uk-UA" w:eastAsia="ru-RU"/>
              </w:rPr>
              <w:t>4</w:t>
            </w:r>
            <w:r w:rsidRPr="00EB7900">
              <w:rPr>
                <w:rFonts w:ascii="Times New Roman" w:hAnsi="Times New Roman"/>
                <w:sz w:val="24"/>
                <w:szCs w:val="24"/>
                <w:lang w:val="uk-UA" w:eastAsia="ru-RU"/>
              </w:rPr>
              <w:t>.2023р.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EB7900">
              <w:rPr>
                <w:rFonts w:ascii="Times New Roman" w:hAnsi="Times New Roman"/>
                <w:sz w:val="24"/>
                <w:szCs w:val="24"/>
                <w:lang w:val="uk-UA"/>
              </w:rPr>
              <w:t>Держаудитслужба</w:t>
            </w:r>
            <w:proofErr w:type="spellEnd"/>
            <w:r w:rsidRPr="00EB7900">
              <w:rPr>
                <w:rFonts w:ascii="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Відповідно до пункту 35 Особливостей відкриті торги проводяться без застосування електронного аукціону.</w:t>
            </w: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проводиться електронною системою закупівель автоматично на основі критеріїв і 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здійснюється на основі критерію </w:t>
            </w:r>
            <w:proofErr w:type="spellStart"/>
            <w:r w:rsidRPr="00EB7900">
              <w:rPr>
                <w:rFonts w:ascii="Times New Roman" w:hAnsi="Times New Roman"/>
                <w:sz w:val="24"/>
                <w:szCs w:val="24"/>
                <w:lang w:val="uk-UA" w:eastAsia="ru-RU"/>
              </w:rPr>
              <w:t>„Ціна</w:t>
            </w:r>
            <w:proofErr w:type="spellEnd"/>
            <w:r w:rsidRPr="00EB7900">
              <w:rPr>
                <w:rFonts w:ascii="Times New Roman" w:hAnsi="Times New Roman"/>
                <w:sz w:val="24"/>
                <w:szCs w:val="24"/>
                <w:lang w:val="uk-UA" w:eastAsia="ru-RU"/>
              </w:rPr>
              <w:t>”.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lastRenderedPageBreak/>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Обґрунтування аномально низької тендерної пропозиції </w:t>
            </w:r>
            <w:r w:rsidRPr="00EB7900">
              <w:rPr>
                <w:rFonts w:ascii="Times New Roman" w:hAnsi="Times New Roman"/>
                <w:sz w:val="24"/>
                <w:szCs w:val="24"/>
                <w:lang w:val="uk-UA" w:eastAsia="ru-RU"/>
              </w:rPr>
              <w:lastRenderedPageBreak/>
              <w:t>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w:t>
            </w:r>
            <w:r w:rsidRPr="00EB7900">
              <w:rPr>
                <w:rFonts w:ascii="Times New Roman" w:hAnsi="Times New Roman"/>
                <w:sz w:val="24"/>
                <w:szCs w:val="24"/>
                <w:lang w:val="uk-UA" w:eastAsia="ru-RU"/>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EB7900">
              <w:rPr>
                <w:rFonts w:ascii="Times New Roman" w:hAnsi="Times New Roman"/>
                <w:sz w:val="24"/>
                <w:szCs w:val="24"/>
                <w:lang w:val="uk-UA" w:eastAsia="ru-RU"/>
              </w:rPr>
              <w:lastRenderedPageBreak/>
              <w:t>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EB7900">
              <w:rPr>
                <w:rFonts w:ascii="Times New Roman" w:hAnsi="Times New Roman"/>
                <w:sz w:val="24"/>
                <w:szCs w:val="24"/>
                <w:lang w:val="uk-UA" w:eastAsia="ru-RU"/>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0829E4"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EB7900">
              <w:rPr>
                <w:rFonts w:ascii="Times New Roman" w:hAnsi="Times New Roman"/>
                <w:sz w:val="24"/>
                <w:szCs w:val="24"/>
                <w:lang w:val="uk-UA" w:eastAsia="ru-RU"/>
              </w:rPr>
              <w:lastRenderedPageBreak/>
              <w:t>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w:t>
            </w:r>
            <w:r w:rsidRPr="00EB7900">
              <w:rPr>
                <w:rFonts w:ascii="Times New Roman" w:hAnsi="Times New Roman"/>
                <w:sz w:val="24"/>
                <w:szCs w:val="24"/>
                <w:lang w:val="uk-UA" w:eastAsia="ru-RU"/>
              </w:rPr>
              <w:lastRenderedPageBreak/>
              <w:t>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w:t>
            </w:r>
            <w:r w:rsidRPr="00EB7900">
              <w:rPr>
                <w:rFonts w:ascii="Times New Roman" w:hAnsi="Times New Roman"/>
                <w:sz w:val="24"/>
                <w:szCs w:val="24"/>
                <w:lang w:val="uk-UA" w:eastAsia="ru-RU"/>
              </w:rPr>
              <w:lastRenderedPageBreak/>
              <w:t>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proofErr w:type="spellStart"/>
            <w:r w:rsidRPr="0012297E">
              <w:rPr>
                <w:lang w:eastAsia="ru-RU"/>
              </w:rPr>
              <w:t>.Фактом</w:t>
            </w:r>
            <w:proofErr w:type="spellEnd"/>
            <w:r w:rsidRPr="0012297E">
              <w:rPr>
                <w:lang w:eastAsia="ru-RU"/>
              </w:rPr>
              <w:t xml:space="preserve">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EB7900"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учасник процедури закупівлі: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обґрунтування аномально низької ціни тендерної пропозиції протягом строку, визначеного пунктом 38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uk-UA"/>
              </w:rPr>
              <w:t>бенефіціарним</w:t>
            </w:r>
            <w:proofErr w:type="spellEnd"/>
            <w:r w:rsidRPr="00EB790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w:t>
            </w:r>
            <w:r w:rsidRPr="00EB7900">
              <w:rPr>
                <w:rFonts w:ascii="Times New Roman" w:hAnsi="Times New Roman"/>
                <w:sz w:val="24"/>
                <w:szCs w:val="24"/>
                <w:lang w:val="uk-UA" w:eastAsia="uk-UA"/>
              </w:rPr>
              <w:lastRenderedPageBreak/>
              <w:t>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тендерна пропозиція:</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w:t>
            </w:r>
            <w:r w:rsidRPr="00EB7900">
              <w:rPr>
                <w:lang w:val="uk-UA"/>
              </w:rPr>
              <w:t xml:space="preserve"> </w:t>
            </w:r>
            <w:r w:rsidRPr="00EB7900">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є такою, строк дії якої закінчився;</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переможець процедури закупівлі: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абзацу другого пункту 39 Особливостей.</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F52A27" w:rsidRPr="00EB7900" w:rsidRDefault="00F52A27" w:rsidP="00EB7900">
            <w:pPr>
              <w:tabs>
                <w:tab w:val="left" w:pos="360"/>
                <w:tab w:val="left" w:pos="851"/>
                <w:tab w:val="left" w:pos="1440"/>
              </w:tabs>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визначених в пункті 44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EB7900" w:rsidRDefault="00F52A27" w:rsidP="00EB7900">
            <w:pPr>
              <w:widowControl w:val="0"/>
              <w:spacing w:after="0" w:line="228" w:lineRule="auto"/>
              <w:jc w:val="both"/>
              <w:rPr>
                <w:rFonts w:ascii="Times New Roman" w:hAnsi="Times New Roman"/>
                <w:sz w:val="24"/>
                <w:lang w:val="uk-UA" w:eastAsia="uk-UA"/>
              </w:rPr>
            </w:pPr>
            <w:r w:rsidRPr="00EB7900">
              <w:rPr>
                <w:rFonts w:ascii="Times New Roman" w:hAnsi="Times New Roman"/>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52A27" w:rsidRPr="00EB7900" w:rsidRDefault="00F52A27" w:rsidP="00EB7900">
            <w:pPr>
              <w:widowControl w:val="0"/>
              <w:spacing w:after="0" w:line="228" w:lineRule="auto"/>
              <w:jc w:val="both"/>
              <w:rPr>
                <w:rFonts w:ascii="Times New Roman" w:hAnsi="Times New Roman"/>
                <w:sz w:val="24"/>
                <w:szCs w:val="24"/>
                <w:highlight w:val="white"/>
                <w:lang w:val="uk-UA" w:eastAsia="ru-RU"/>
              </w:rPr>
            </w:pPr>
            <w:r w:rsidRPr="00EB7900">
              <w:rPr>
                <w:rFonts w:ascii="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52A27" w:rsidRPr="00EB7900" w:rsidRDefault="00F52A27" w:rsidP="00EB7900">
            <w:pPr>
              <w:widowControl w:val="0"/>
              <w:spacing w:after="0" w:line="240" w:lineRule="auto"/>
              <w:contextualSpacing/>
              <w:jc w:val="both"/>
              <w:rPr>
                <w:rFonts w:ascii="Times New Roman" w:hAnsi="Times New Roman"/>
                <w:i/>
                <w:iCs/>
                <w:sz w:val="24"/>
                <w:szCs w:val="24"/>
                <w:lang w:val="uk-UA" w:eastAsia="ru-RU"/>
              </w:rPr>
            </w:pP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uk-UA"/>
              </w:rPr>
            </w:pPr>
            <w:r w:rsidRPr="00EB7900">
              <w:rPr>
                <w:rFonts w:ascii="Times New Roman" w:hAnsi="Times New Roman"/>
                <w:sz w:val="24"/>
                <w:szCs w:val="24"/>
                <w:lang w:val="uk-UA" w:eastAsia="uk-UA"/>
              </w:rPr>
              <w:t>Тендер може бути відмінено частково (за лотом).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uk-UA"/>
              </w:rPr>
              <w:t>Замовник має право визнати тендер таким, що не відбувся частково (за лотом)</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proofErr w:type="gramStart"/>
            <w:r w:rsidRPr="001675B4">
              <w:rPr>
                <w:rFonts w:ascii="Times New Roman" w:hAnsi="Times New Roman"/>
                <w:sz w:val="24"/>
                <w:szCs w:val="24"/>
              </w:rPr>
              <w:t>п</w:t>
            </w:r>
            <w:proofErr w:type="gramEnd"/>
            <w:r w:rsidRPr="001675B4">
              <w:rPr>
                <w:rFonts w:ascii="Times New Roman" w:hAnsi="Times New Roman"/>
                <w:sz w:val="24"/>
                <w:szCs w:val="24"/>
              </w:rPr>
              <w:t>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0829E4" w:rsidTr="001675B4">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грошового</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w:t>
            </w:r>
            <w:proofErr w:type="gramStart"/>
            <w:r w:rsidRPr="00C260C8">
              <w:rPr>
                <w:rFonts w:ascii="Times New Roman" w:hAnsi="Times New Roman"/>
                <w:sz w:val="24"/>
                <w:szCs w:val="24"/>
              </w:rPr>
              <w:t>вл</w:t>
            </w:r>
            <w:proofErr w:type="gramEnd"/>
            <w:r w:rsidRPr="00C260C8">
              <w:rPr>
                <w:rFonts w:ascii="Times New Roman" w:hAnsi="Times New Roman"/>
                <w:sz w:val="24"/>
                <w:szCs w:val="24"/>
              </w:rPr>
              <w:t>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w:t>
            </w:r>
            <w:proofErr w:type="gramStart"/>
            <w:r w:rsidRPr="00C260C8">
              <w:rPr>
                <w:rFonts w:ascii="Times New Roman" w:hAnsi="Times New Roman"/>
                <w:sz w:val="24"/>
                <w:szCs w:val="24"/>
              </w:rPr>
              <w:t>в</w:t>
            </w:r>
            <w:proofErr w:type="gramEnd"/>
            <w:r w:rsidRPr="00C260C8">
              <w:rPr>
                <w:rFonts w:ascii="Times New Roman" w:hAnsi="Times New Roman"/>
                <w:sz w:val="24"/>
                <w:szCs w:val="24"/>
              </w:rPr>
              <w:t xml:space="preserve">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uk-UA"/>
              </w:rPr>
            </w:pPr>
            <w:proofErr w:type="spellStart"/>
            <w:r w:rsidRPr="001675B4">
              <w:rPr>
                <w:rFonts w:ascii="Times New Roman" w:hAnsi="Times New Roman"/>
                <w:sz w:val="24"/>
                <w:szCs w:val="24"/>
                <w:lang w:eastAsia="uk-UA"/>
              </w:rPr>
              <w:t>Істотними</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умовами</w:t>
            </w:r>
            <w:proofErr w:type="spellEnd"/>
            <w:r w:rsidRPr="001675B4">
              <w:rPr>
                <w:rFonts w:ascii="Times New Roman" w:hAnsi="Times New Roman"/>
                <w:sz w:val="24"/>
                <w:szCs w:val="24"/>
                <w:lang w:eastAsia="uk-UA"/>
              </w:rPr>
              <w:t xml:space="preserve"> договору про </w:t>
            </w:r>
            <w:proofErr w:type="spellStart"/>
            <w:r w:rsidRPr="001675B4">
              <w:rPr>
                <w:rFonts w:ascii="Times New Roman" w:hAnsi="Times New Roman"/>
                <w:sz w:val="24"/>
                <w:szCs w:val="24"/>
                <w:lang w:eastAsia="uk-UA"/>
              </w:rPr>
              <w:t>закупівлю</w:t>
            </w:r>
            <w:proofErr w:type="spellEnd"/>
            <w:r w:rsidRPr="001675B4">
              <w:rPr>
                <w:rFonts w:ascii="Times New Roman" w:hAnsi="Times New Roman"/>
                <w:sz w:val="24"/>
                <w:szCs w:val="24"/>
                <w:lang w:eastAsia="uk-UA"/>
              </w:rPr>
              <w:t xml:space="preserve"> є предмет (</w:t>
            </w:r>
            <w:proofErr w:type="spellStart"/>
            <w:r w:rsidRPr="001675B4">
              <w:rPr>
                <w:rFonts w:ascii="Times New Roman" w:hAnsi="Times New Roman"/>
                <w:sz w:val="24"/>
                <w:szCs w:val="24"/>
                <w:lang w:eastAsia="uk-UA"/>
              </w:rPr>
              <w:t>найменування</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кількість</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якість</w:t>
            </w:r>
            <w:proofErr w:type="spellEnd"/>
            <w:r w:rsidRPr="001675B4">
              <w:rPr>
                <w:rFonts w:ascii="Times New Roman" w:hAnsi="Times New Roman"/>
                <w:sz w:val="24"/>
                <w:szCs w:val="24"/>
                <w:lang w:eastAsia="uk-UA"/>
              </w:rPr>
              <w:t xml:space="preserve">), </w:t>
            </w:r>
            <w:proofErr w:type="spellStart"/>
            <w:r w:rsidRPr="001675B4">
              <w:rPr>
                <w:rFonts w:ascii="Times New Roman" w:hAnsi="Times New Roman"/>
                <w:sz w:val="24"/>
                <w:szCs w:val="24"/>
                <w:lang w:eastAsia="uk-UA"/>
              </w:rPr>
              <w:t>ці</w:t>
            </w:r>
            <w:proofErr w:type="gramStart"/>
            <w:r w:rsidRPr="001675B4">
              <w:rPr>
                <w:rFonts w:ascii="Times New Roman" w:hAnsi="Times New Roman"/>
                <w:sz w:val="24"/>
                <w:szCs w:val="24"/>
                <w:lang w:eastAsia="uk-UA"/>
              </w:rPr>
              <w:t>на</w:t>
            </w:r>
            <w:proofErr w:type="spellEnd"/>
            <w:proofErr w:type="gramEnd"/>
            <w:r w:rsidRPr="001675B4">
              <w:rPr>
                <w:rFonts w:ascii="Times New Roman" w:hAnsi="Times New Roman"/>
                <w:sz w:val="24"/>
                <w:szCs w:val="24"/>
                <w:lang w:eastAsia="uk-UA"/>
              </w:rPr>
              <w:t xml:space="preserve"> та строк </w:t>
            </w:r>
            <w:proofErr w:type="spellStart"/>
            <w:r w:rsidRPr="001675B4">
              <w:rPr>
                <w:rFonts w:ascii="Times New Roman" w:hAnsi="Times New Roman"/>
                <w:sz w:val="24"/>
                <w:szCs w:val="24"/>
                <w:lang w:eastAsia="uk-UA"/>
              </w:rPr>
              <w:t>дії</w:t>
            </w:r>
            <w:proofErr w:type="spellEnd"/>
            <w:r w:rsidRPr="001675B4">
              <w:rPr>
                <w:rFonts w:ascii="Times New Roman" w:hAnsi="Times New Roman"/>
                <w:sz w:val="24"/>
                <w:szCs w:val="24"/>
                <w:lang w:eastAsia="uk-UA"/>
              </w:rPr>
              <w:t xml:space="preserve"> договору.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EB7900">
              <w:rPr>
                <w:rFonts w:ascii="Times New Roman" w:hAnsi="Times New Roman"/>
                <w:sz w:val="24"/>
                <w:szCs w:val="24"/>
                <w:lang w:val="uk-UA" w:eastAsia="ru-RU"/>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w:t>
            </w:r>
            <w:r w:rsidRPr="00EB7900">
              <w:rPr>
                <w:rFonts w:ascii="Times New Roman" w:hAnsi="Times New Roman"/>
                <w:sz w:val="24"/>
                <w:szCs w:val="24"/>
                <w:lang w:val="uk-UA" w:eastAsia="ru-RU"/>
              </w:rPr>
              <w:lastRenderedPageBreak/>
              <w:t>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EB7900"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lang w:val="uk-UA" w:eastAsia="ru-RU"/>
              </w:rPr>
            </w:pPr>
            <w:r w:rsidRPr="00EB7900">
              <w:rPr>
                <w:rFonts w:ascii="Times New Roman" w:hAnsi="Times New Roman"/>
                <w:b/>
                <w:sz w:val="24"/>
                <w:szCs w:val="24"/>
                <w:u w:val="single"/>
                <w:lang w:val="uk-UA" w:eastAsia="ru-RU"/>
              </w:rPr>
              <w:t>Порядок змін умов та припинення Договору:</w:t>
            </w:r>
            <w:r w:rsidRPr="00EB7900">
              <w:rPr>
                <w:rFonts w:ascii="Times New Roman" w:hAnsi="Times New Roman"/>
                <w:sz w:val="24"/>
                <w:szCs w:val="24"/>
                <w:u w:val="single"/>
                <w:lang w:val="uk-UA" w:eastAsia="ru-RU"/>
              </w:rPr>
              <w:t xml:space="preserve"> </w:t>
            </w:r>
          </w:p>
          <w:p w:rsidR="00F52A27" w:rsidRPr="00EB7900"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sz w:val="24"/>
                <w:szCs w:val="24"/>
                <w:lang w:val="uk-UA"/>
              </w:rPr>
            </w:pPr>
            <w:r w:rsidRPr="00EB7900">
              <w:rPr>
                <w:rFonts w:ascii="Times New Roman" w:hAnsi="Times New Roman"/>
                <w:iCs/>
                <w:sz w:val="24"/>
                <w:szCs w:val="24"/>
                <w:lang w:val="uk-UA"/>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EB7900" w:rsidRDefault="00F52A27" w:rsidP="00EB7900">
            <w:pPr>
              <w:tabs>
                <w:tab w:val="left" w:pos="900"/>
                <w:tab w:val="left" w:pos="1418"/>
              </w:tabs>
              <w:jc w:val="both"/>
              <w:rPr>
                <w:rFonts w:ascii="Times New Roman" w:hAnsi="Times New Roman"/>
                <w:spacing w:val="1"/>
                <w:sz w:val="24"/>
                <w:szCs w:val="24"/>
                <w:lang w:eastAsia="uk-UA"/>
              </w:rPr>
            </w:pPr>
            <w:r w:rsidRPr="00EB7900">
              <w:rPr>
                <w:rFonts w:ascii="Times New Roman" w:hAnsi="Times New Roman"/>
                <w:spacing w:val="1"/>
                <w:sz w:val="24"/>
                <w:szCs w:val="24"/>
                <w:lang w:val="uk-UA" w:eastAsia="uk-UA"/>
              </w:rPr>
              <w:t xml:space="preserve">2. </w:t>
            </w:r>
            <w:r w:rsidRPr="00EB7900">
              <w:rPr>
                <w:rFonts w:ascii="Times New Roman" w:hAnsi="Times New Roman"/>
                <w:spacing w:val="1"/>
                <w:sz w:val="24"/>
                <w:szCs w:val="24"/>
                <w:lang w:eastAsia="uk-UA"/>
              </w:rPr>
              <w:t>Будь-</w:t>
            </w:r>
            <w:proofErr w:type="spellStart"/>
            <w:r w:rsidRPr="00EB7900">
              <w:rPr>
                <w:rFonts w:ascii="Times New Roman" w:hAnsi="Times New Roman"/>
                <w:spacing w:val="1"/>
                <w:sz w:val="24"/>
                <w:szCs w:val="24"/>
                <w:lang w:eastAsia="uk-UA"/>
              </w:rPr>
              <w:t>які</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зміни</w:t>
            </w:r>
            <w:proofErr w:type="spellEnd"/>
            <w:r w:rsidRPr="00EB7900">
              <w:rPr>
                <w:rFonts w:ascii="Times New Roman" w:hAnsi="Times New Roman"/>
                <w:spacing w:val="1"/>
                <w:sz w:val="24"/>
                <w:szCs w:val="24"/>
                <w:lang w:eastAsia="uk-UA"/>
              </w:rPr>
              <w:t xml:space="preserve"> і </w:t>
            </w:r>
            <w:proofErr w:type="spellStart"/>
            <w:r w:rsidRPr="00EB7900">
              <w:rPr>
                <w:rFonts w:ascii="Times New Roman" w:hAnsi="Times New Roman"/>
                <w:spacing w:val="1"/>
                <w:sz w:val="24"/>
                <w:szCs w:val="24"/>
                <w:lang w:eastAsia="uk-UA"/>
              </w:rPr>
              <w:t>доповнення</w:t>
            </w:r>
            <w:proofErr w:type="spellEnd"/>
            <w:r w:rsidRPr="00EB7900">
              <w:rPr>
                <w:rFonts w:ascii="Times New Roman" w:hAnsi="Times New Roman"/>
                <w:spacing w:val="1"/>
                <w:sz w:val="24"/>
                <w:szCs w:val="24"/>
                <w:lang w:eastAsia="uk-UA"/>
              </w:rPr>
              <w:t xml:space="preserve"> до </w:t>
            </w:r>
            <w:proofErr w:type="spellStart"/>
            <w:r w:rsidRPr="00EB7900">
              <w:rPr>
                <w:rFonts w:ascii="Times New Roman" w:hAnsi="Times New Roman"/>
                <w:spacing w:val="1"/>
                <w:sz w:val="24"/>
                <w:szCs w:val="24"/>
                <w:lang w:eastAsia="uk-UA"/>
              </w:rPr>
              <w:t>даного</w:t>
            </w:r>
            <w:proofErr w:type="spellEnd"/>
            <w:r w:rsidRPr="00EB7900">
              <w:rPr>
                <w:rFonts w:ascii="Times New Roman" w:hAnsi="Times New Roman"/>
                <w:spacing w:val="1"/>
                <w:sz w:val="24"/>
                <w:szCs w:val="24"/>
                <w:lang w:eastAsia="uk-UA"/>
              </w:rPr>
              <w:t xml:space="preserve"> Договору,  </w:t>
            </w:r>
            <w:proofErr w:type="spellStart"/>
            <w:r w:rsidRPr="00EB7900">
              <w:rPr>
                <w:rFonts w:ascii="Times New Roman" w:hAnsi="Times New Roman"/>
                <w:spacing w:val="1"/>
                <w:sz w:val="24"/>
                <w:szCs w:val="24"/>
                <w:lang w:eastAsia="uk-UA"/>
              </w:rPr>
              <w:t>вважаються</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дійсними</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якщо</w:t>
            </w:r>
            <w:proofErr w:type="spellEnd"/>
            <w:r w:rsidRPr="00EB7900">
              <w:rPr>
                <w:rFonts w:ascii="Times New Roman" w:hAnsi="Times New Roman"/>
                <w:spacing w:val="1"/>
                <w:sz w:val="24"/>
                <w:szCs w:val="24"/>
                <w:lang w:eastAsia="uk-UA"/>
              </w:rPr>
              <w:t xml:space="preserve"> вони </w:t>
            </w:r>
            <w:proofErr w:type="spellStart"/>
            <w:r w:rsidRPr="00EB7900">
              <w:rPr>
                <w:rFonts w:ascii="Times New Roman" w:hAnsi="Times New Roman"/>
                <w:spacing w:val="1"/>
                <w:sz w:val="24"/>
                <w:szCs w:val="24"/>
                <w:lang w:eastAsia="uk-UA"/>
              </w:rPr>
              <w:t>оформлені</w:t>
            </w:r>
            <w:proofErr w:type="spellEnd"/>
            <w:r w:rsidRPr="00EB7900">
              <w:rPr>
                <w:rFonts w:ascii="Times New Roman" w:hAnsi="Times New Roman"/>
                <w:spacing w:val="1"/>
                <w:sz w:val="24"/>
                <w:szCs w:val="24"/>
                <w:lang w:eastAsia="uk-UA"/>
              </w:rPr>
              <w:t xml:space="preserve"> в </w:t>
            </w:r>
            <w:proofErr w:type="spellStart"/>
            <w:r w:rsidRPr="00EB7900">
              <w:rPr>
                <w:rFonts w:ascii="Times New Roman" w:hAnsi="Times New Roman"/>
                <w:spacing w:val="1"/>
                <w:sz w:val="24"/>
                <w:szCs w:val="24"/>
                <w:lang w:eastAsia="uk-UA"/>
              </w:rPr>
              <w:t>письмовому</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вигляді</w:t>
            </w:r>
            <w:proofErr w:type="spellEnd"/>
            <w:r w:rsidRPr="00EB7900">
              <w:rPr>
                <w:rFonts w:ascii="Times New Roman" w:hAnsi="Times New Roman"/>
                <w:spacing w:val="1"/>
                <w:sz w:val="24"/>
                <w:szCs w:val="24"/>
                <w:lang w:eastAsia="uk-UA"/>
              </w:rPr>
              <w:t xml:space="preserve"> та </w:t>
            </w:r>
            <w:proofErr w:type="spellStart"/>
            <w:proofErr w:type="gramStart"/>
            <w:r w:rsidRPr="00EB7900">
              <w:rPr>
                <w:rFonts w:ascii="Times New Roman" w:hAnsi="Times New Roman"/>
                <w:spacing w:val="1"/>
                <w:sz w:val="24"/>
                <w:szCs w:val="24"/>
                <w:lang w:eastAsia="uk-UA"/>
              </w:rPr>
              <w:t>п</w:t>
            </w:r>
            <w:proofErr w:type="gramEnd"/>
            <w:r w:rsidRPr="00EB7900">
              <w:rPr>
                <w:rFonts w:ascii="Times New Roman" w:hAnsi="Times New Roman"/>
                <w:spacing w:val="1"/>
                <w:sz w:val="24"/>
                <w:szCs w:val="24"/>
                <w:lang w:eastAsia="uk-UA"/>
              </w:rPr>
              <w:t>ідписані</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уповноваженими</w:t>
            </w:r>
            <w:proofErr w:type="spellEnd"/>
            <w:r w:rsidRPr="00EB7900">
              <w:rPr>
                <w:rFonts w:ascii="Times New Roman" w:hAnsi="Times New Roman"/>
                <w:spacing w:val="1"/>
                <w:sz w:val="24"/>
                <w:szCs w:val="24"/>
                <w:lang w:eastAsia="uk-UA"/>
              </w:rPr>
              <w:t xml:space="preserve"> на </w:t>
            </w:r>
            <w:proofErr w:type="spellStart"/>
            <w:r w:rsidRPr="00EB7900">
              <w:rPr>
                <w:rFonts w:ascii="Times New Roman" w:hAnsi="Times New Roman"/>
                <w:spacing w:val="1"/>
                <w:sz w:val="24"/>
                <w:szCs w:val="24"/>
                <w:lang w:eastAsia="uk-UA"/>
              </w:rPr>
              <w:t>це</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представниками</w:t>
            </w:r>
            <w:proofErr w:type="spellEnd"/>
            <w:r w:rsidRPr="00EB7900">
              <w:rPr>
                <w:rFonts w:ascii="Times New Roman" w:hAnsi="Times New Roman"/>
                <w:spacing w:val="1"/>
                <w:sz w:val="24"/>
                <w:szCs w:val="24"/>
                <w:lang w:eastAsia="uk-UA"/>
              </w:rPr>
              <w:t xml:space="preserve"> </w:t>
            </w:r>
            <w:proofErr w:type="spellStart"/>
            <w:r w:rsidRPr="00EB7900">
              <w:rPr>
                <w:rFonts w:ascii="Times New Roman" w:hAnsi="Times New Roman"/>
                <w:spacing w:val="1"/>
                <w:sz w:val="24"/>
                <w:szCs w:val="24"/>
                <w:lang w:eastAsia="uk-UA"/>
              </w:rPr>
              <w:t>Сторін</w:t>
            </w:r>
            <w:proofErr w:type="spellEnd"/>
            <w:r w:rsidRPr="00EB7900">
              <w:rPr>
                <w:rFonts w:ascii="Times New Roman" w:hAnsi="Times New Roman"/>
                <w:spacing w:val="1"/>
                <w:sz w:val="24"/>
                <w:szCs w:val="24"/>
                <w:lang w:eastAsia="uk-UA"/>
              </w:rPr>
              <w:t>.</w:t>
            </w:r>
          </w:p>
          <w:p w:rsidR="00F52A27" w:rsidRPr="00EB7900" w:rsidRDefault="00F52A27" w:rsidP="00EB7900">
            <w:pPr>
              <w:tabs>
                <w:tab w:val="left" w:pos="900"/>
                <w:tab w:val="left" w:pos="1418"/>
              </w:tabs>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F52A27" w:rsidRPr="00EB7900" w:rsidRDefault="00F52A27" w:rsidP="00EB7900">
            <w:pPr>
              <w:tabs>
                <w:tab w:val="left" w:pos="900"/>
                <w:tab w:val="left" w:pos="1418"/>
              </w:tabs>
              <w:jc w:val="both"/>
              <w:rPr>
                <w:rFonts w:ascii="Times New Roman" w:hAnsi="Times New Roman"/>
                <w:spacing w:val="1"/>
                <w:sz w:val="24"/>
                <w:szCs w:val="24"/>
                <w:lang w:val="uk-UA" w:eastAsia="uk-UA"/>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p>
          <w:p w:rsidR="00F52A27" w:rsidRPr="00EB7900"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
              <w:jc w:val="both"/>
              <w:rPr>
                <w:rFonts w:ascii="Times New Roman" w:hAnsi="Times New Roman"/>
                <w:sz w:val="24"/>
                <w:szCs w:val="24"/>
                <w:lang w:val="uk-UA" w:eastAsia="ru-RU"/>
              </w:rPr>
            </w:pP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F52A27" w:rsidRPr="00EB7900" w:rsidRDefault="00F52A27" w:rsidP="00EB7900">
            <w:pPr>
              <w:widowControl w:val="0"/>
              <w:spacing w:after="0" w:line="240" w:lineRule="auto"/>
              <w:jc w:val="both"/>
              <w:rPr>
                <w:rFonts w:ascii="Times New Roman" w:hAnsi="Times New Roman"/>
                <w:color w:val="0070C0"/>
                <w:sz w:val="24"/>
                <w:szCs w:val="24"/>
                <w:lang w:val="uk-UA"/>
              </w:rPr>
            </w:pPr>
            <w:r w:rsidRPr="00EB7900">
              <w:rPr>
                <w:rFonts w:ascii="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EB7900">
              <w:rPr>
                <w:rFonts w:ascii="Times New Roman" w:hAnsi="Times New Roman"/>
                <w:color w:val="0070C0"/>
                <w:sz w:val="24"/>
                <w:szCs w:val="24"/>
                <w:lang w:val="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 xml:space="preserve">2. Додаток 2 до тендерної документації «ТЕХНІЧНІ, ЯКІСНІ ТА КІЛЬКІСНІ </w:t>
      </w:r>
      <w:r w:rsidRPr="0012297E">
        <w:rPr>
          <w:rFonts w:ascii="Times New Roman" w:hAnsi="Times New Roman"/>
          <w:sz w:val="24"/>
          <w:szCs w:val="24"/>
          <w:lang w:val="uk-UA"/>
        </w:rPr>
        <w:lastRenderedPageBreak/>
        <w:t>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0">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4">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3">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7"/>
  </w:num>
  <w:num w:numId="2">
    <w:abstractNumId w:val="8"/>
  </w:num>
  <w:num w:numId="3">
    <w:abstractNumId w:val="29"/>
  </w:num>
  <w:num w:numId="4">
    <w:abstractNumId w:val="22"/>
  </w:num>
  <w:num w:numId="5">
    <w:abstractNumId w:val="26"/>
  </w:num>
  <w:num w:numId="6">
    <w:abstractNumId w:val="3"/>
  </w:num>
  <w:num w:numId="7">
    <w:abstractNumId w:val="30"/>
  </w:num>
  <w:num w:numId="8">
    <w:abstractNumId w:val="1"/>
  </w:num>
  <w:num w:numId="9">
    <w:abstractNumId w:val="11"/>
  </w:num>
  <w:num w:numId="10">
    <w:abstractNumId w:val="19"/>
  </w:num>
  <w:num w:numId="11">
    <w:abstractNumId w:val="28"/>
  </w:num>
  <w:num w:numId="12">
    <w:abstractNumId w:val="23"/>
  </w:num>
  <w:num w:numId="13">
    <w:abstractNumId w:val="7"/>
  </w:num>
  <w:num w:numId="14">
    <w:abstractNumId w:val="21"/>
  </w:num>
  <w:num w:numId="15">
    <w:abstractNumId w:val="25"/>
  </w:num>
  <w:num w:numId="16">
    <w:abstractNumId w:val="12"/>
  </w:num>
  <w:num w:numId="17">
    <w:abstractNumId w:val="27"/>
  </w:num>
  <w:num w:numId="18">
    <w:abstractNumId w:val="33"/>
  </w:num>
  <w:num w:numId="19">
    <w:abstractNumId w:val="20"/>
  </w:num>
  <w:num w:numId="20">
    <w:abstractNumId w:val="6"/>
  </w:num>
  <w:num w:numId="21">
    <w:abstractNumId w:val="16"/>
  </w:num>
  <w:num w:numId="22">
    <w:abstractNumId w:val="0"/>
  </w:num>
  <w:num w:numId="23">
    <w:abstractNumId w:val="24"/>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8"/>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BE3"/>
    <w:rsid w:val="0000090B"/>
    <w:rsid w:val="00002819"/>
    <w:rsid w:val="00006175"/>
    <w:rsid w:val="00011DAF"/>
    <w:rsid w:val="00013C8D"/>
    <w:rsid w:val="00014F86"/>
    <w:rsid w:val="0002427F"/>
    <w:rsid w:val="00035C32"/>
    <w:rsid w:val="00043F7F"/>
    <w:rsid w:val="00050F91"/>
    <w:rsid w:val="00053249"/>
    <w:rsid w:val="0005506E"/>
    <w:rsid w:val="00056020"/>
    <w:rsid w:val="00057212"/>
    <w:rsid w:val="00060923"/>
    <w:rsid w:val="0007274C"/>
    <w:rsid w:val="00077900"/>
    <w:rsid w:val="00081F2E"/>
    <w:rsid w:val="000829E4"/>
    <w:rsid w:val="00087BC7"/>
    <w:rsid w:val="000A0CDB"/>
    <w:rsid w:val="000A10E8"/>
    <w:rsid w:val="000A3146"/>
    <w:rsid w:val="000B56D9"/>
    <w:rsid w:val="000C0FAA"/>
    <w:rsid w:val="000C368E"/>
    <w:rsid w:val="000C37DC"/>
    <w:rsid w:val="000D01A3"/>
    <w:rsid w:val="000D5E9E"/>
    <w:rsid w:val="000E2C4E"/>
    <w:rsid w:val="000E3B5F"/>
    <w:rsid w:val="00110A5F"/>
    <w:rsid w:val="0012249C"/>
    <w:rsid w:val="0012297E"/>
    <w:rsid w:val="00123990"/>
    <w:rsid w:val="00126B95"/>
    <w:rsid w:val="001276E3"/>
    <w:rsid w:val="00134660"/>
    <w:rsid w:val="00136469"/>
    <w:rsid w:val="00140E96"/>
    <w:rsid w:val="00144B1C"/>
    <w:rsid w:val="001675B4"/>
    <w:rsid w:val="00174F5C"/>
    <w:rsid w:val="001A66C8"/>
    <w:rsid w:val="001C3193"/>
    <w:rsid w:val="001E1051"/>
    <w:rsid w:val="001E7E6A"/>
    <w:rsid w:val="001F7764"/>
    <w:rsid w:val="002008F3"/>
    <w:rsid w:val="0020225B"/>
    <w:rsid w:val="00202313"/>
    <w:rsid w:val="00214286"/>
    <w:rsid w:val="00227B1C"/>
    <w:rsid w:val="00233051"/>
    <w:rsid w:val="002374A4"/>
    <w:rsid w:val="00237859"/>
    <w:rsid w:val="00242808"/>
    <w:rsid w:val="002443C2"/>
    <w:rsid w:val="00247D16"/>
    <w:rsid w:val="00252EB4"/>
    <w:rsid w:val="00256073"/>
    <w:rsid w:val="00265B5D"/>
    <w:rsid w:val="00271708"/>
    <w:rsid w:val="00291C25"/>
    <w:rsid w:val="00291DFD"/>
    <w:rsid w:val="00292EE1"/>
    <w:rsid w:val="00296D92"/>
    <w:rsid w:val="002A6D83"/>
    <w:rsid w:val="002C1F7E"/>
    <w:rsid w:val="002C3A2A"/>
    <w:rsid w:val="002C4A37"/>
    <w:rsid w:val="002D550A"/>
    <w:rsid w:val="002E2B2A"/>
    <w:rsid w:val="002E4556"/>
    <w:rsid w:val="002E4709"/>
    <w:rsid w:val="002E653B"/>
    <w:rsid w:val="00302D8B"/>
    <w:rsid w:val="0030346C"/>
    <w:rsid w:val="00306D4E"/>
    <w:rsid w:val="00310180"/>
    <w:rsid w:val="00322DBB"/>
    <w:rsid w:val="003324B7"/>
    <w:rsid w:val="0033313B"/>
    <w:rsid w:val="00333E93"/>
    <w:rsid w:val="003348A3"/>
    <w:rsid w:val="00354A61"/>
    <w:rsid w:val="00362446"/>
    <w:rsid w:val="00363633"/>
    <w:rsid w:val="003767EB"/>
    <w:rsid w:val="003770D5"/>
    <w:rsid w:val="00381B0A"/>
    <w:rsid w:val="0038296B"/>
    <w:rsid w:val="00396D1B"/>
    <w:rsid w:val="003B75A8"/>
    <w:rsid w:val="003C1E7D"/>
    <w:rsid w:val="003C3680"/>
    <w:rsid w:val="003C6D2E"/>
    <w:rsid w:val="003D14B3"/>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79E4"/>
    <w:rsid w:val="004A07D9"/>
    <w:rsid w:val="004A162D"/>
    <w:rsid w:val="004A27EA"/>
    <w:rsid w:val="004A3096"/>
    <w:rsid w:val="004B0B3B"/>
    <w:rsid w:val="004C35BD"/>
    <w:rsid w:val="004C744D"/>
    <w:rsid w:val="004D7939"/>
    <w:rsid w:val="004E324F"/>
    <w:rsid w:val="004E3E0A"/>
    <w:rsid w:val="004E54CD"/>
    <w:rsid w:val="004E5978"/>
    <w:rsid w:val="004F1369"/>
    <w:rsid w:val="004F4045"/>
    <w:rsid w:val="004F6AE8"/>
    <w:rsid w:val="00501021"/>
    <w:rsid w:val="0051064F"/>
    <w:rsid w:val="005124D5"/>
    <w:rsid w:val="00535431"/>
    <w:rsid w:val="00546121"/>
    <w:rsid w:val="00583434"/>
    <w:rsid w:val="005A0A46"/>
    <w:rsid w:val="005A69FC"/>
    <w:rsid w:val="005B485F"/>
    <w:rsid w:val="005B6A83"/>
    <w:rsid w:val="005D6B6A"/>
    <w:rsid w:val="005F0C56"/>
    <w:rsid w:val="005F22BB"/>
    <w:rsid w:val="005F4F62"/>
    <w:rsid w:val="005F7576"/>
    <w:rsid w:val="00610A28"/>
    <w:rsid w:val="00611294"/>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5CB2"/>
    <w:rsid w:val="006B2A7A"/>
    <w:rsid w:val="006B5B32"/>
    <w:rsid w:val="006D44CF"/>
    <w:rsid w:val="006E2DB2"/>
    <w:rsid w:val="006E45A0"/>
    <w:rsid w:val="006E73D3"/>
    <w:rsid w:val="006F01E3"/>
    <w:rsid w:val="006F0674"/>
    <w:rsid w:val="006F37AC"/>
    <w:rsid w:val="007015A1"/>
    <w:rsid w:val="0070176B"/>
    <w:rsid w:val="00705ADA"/>
    <w:rsid w:val="00710F6B"/>
    <w:rsid w:val="00711376"/>
    <w:rsid w:val="00727824"/>
    <w:rsid w:val="007433E5"/>
    <w:rsid w:val="00743F80"/>
    <w:rsid w:val="00745533"/>
    <w:rsid w:val="00745F4B"/>
    <w:rsid w:val="00760147"/>
    <w:rsid w:val="0077159D"/>
    <w:rsid w:val="00775372"/>
    <w:rsid w:val="00775B91"/>
    <w:rsid w:val="00785AE8"/>
    <w:rsid w:val="00791E6E"/>
    <w:rsid w:val="007B2EA4"/>
    <w:rsid w:val="007B6AB1"/>
    <w:rsid w:val="007C1E02"/>
    <w:rsid w:val="007D0ACB"/>
    <w:rsid w:val="007D1ED7"/>
    <w:rsid w:val="007D594B"/>
    <w:rsid w:val="007E07B3"/>
    <w:rsid w:val="007E1DC7"/>
    <w:rsid w:val="007E5CD1"/>
    <w:rsid w:val="007F321C"/>
    <w:rsid w:val="007F6F87"/>
    <w:rsid w:val="00802279"/>
    <w:rsid w:val="00803455"/>
    <w:rsid w:val="00813438"/>
    <w:rsid w:val="0082778A"/>
    <w:rsid w:val="00837927"/>
    <w:rsid w:val="00842D6D"/>
    <w:rsid w:val="00852B4F"/>
    <w:rsid w:val="008550BC"/>
    <w:rsid w:val="00856BAD"/>
    <w:rsid w:val="00863B97"/>
    <w:rsid w:val="00863CD0"/>
    <w:rsid w:val="00863D1F"/>
    <w:rsid w:val="0086514F"/>
    <w:rsid w:val="00865974"/>
    <w:rsid w:val="00872A91"/>
    <w:rsid w:val="00874F2D"/>
    <w:rsid w:val="00880FA4"/>
    <w:rsid w:val="00883F1C"/>
    <w:rsid w:val="008917E9"/>
    <w:rsid w:val="008B7F40"/>
    <w:rsid w:val="008C058B"/>
    <w:rsid w:val="008C57D4"/>
    <w:rsid w:val="008C7684"/>
    <w:rsid w:val="008D34DE"/>
    <w:rsid w:val="008D4396"/>
    <w:rsid w:val="008D5F11"/>
    <w:rsid w:val="008E1496"/>
    <w:rsid w:val="008E43BD"/>
    <w:rsid w:val="008E72C4"/>
    <w:rsid w:val="008F1242"/>
    <w:rsid w:val="008F28EB"/>
    <w:rsid w:val="008F7673"/>
    <w:rsid w:val="00907DCB"/>
    <w:rsid w:val="0091531C"/>
    <w:rsid w:val="00935BBF"/>
    <w:rsid w:val="00943324"/>
    <w:rsid w:val="009433B0"/>
    <w:rsid w:val="009527BA"/>
    <w:rsid w:val="0095541C"/>
    <w:rsid w:val="009720C9"/>
    <w:rsid w:val="00994C12"/>
    <w:rsid w:val="009A4E4E"/>
    <w:rsid w:val="009B34BC"/>
    <w:rsid w:val="009B5D80"/>
    <w:rsid w:val="009D2E7E"/>
    <w:rsid w:val="009D7BBE"/>
    <w:rsid w:val="009E2D67"/>
    <w:rsid w:val="009E3874"/>
    <w:rsid w:val="009F5CF2"/>
    <w:rsid w:val="009F6B0E"/>
    <w:rsid w:val="00A0039F"/>
    <w:rsid w:val="00A1035B"/>
    <w:rsid w:val="00A177A7"/>
    <w:rsid w:val="00A22242"/>
    <w:rsid w:val="00A26DF7"/>
    <w:rsid w:val="00A316F8"/>
    <w:rsid w:val="00A33CC1"/>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25B55"/>
    <w:rsid w:val="00D33D30"/>
    <w:rsid w:val="00D43490"/>
    <w:rsid w:val="00D62AA7"/>
    <w:rsid w:val="00D65351"/>
    <w:rsid w:val="00D716A6"/>
    <w:rsid w:val="00D77E45"/>
    <w:rsid w:val="00D8084D"/>
    <w:rsid w:val="00D834A1"/>
    <w:rsid w:val="00DA06B4"/>
    <w:rsid w:val="00DA28B7"/>
    <w:rsid w:val="00DC36E7"/>
    <w:rsid w:val="00DC3FDF"/>
    <w:rsid w:val="00DC5B00"/>
    <w:rsid w:val="00DD10BE"/>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7900"/>
    <w:rsid w:val="00EC62CD"/>
    <w:rsid w:val="00ED00A4"/>
    <w:rsid w:val="00ED2040"/>
    <w:rsid w:val="00ED2B45"/>
    <w:rsid w:val="00EE3B1B"/>
    <w:rsid w:val="00EE4165"/>
    <w:rsid w:val="00EE531A"/>
    <w:rsid w:val="00EE6323"/>
    <w:rsid w:val="00EE6EE6"/>
    <w:rsid w:val="00EE7CF9"/>
    <w:rsid w:val="00F17C10"/>
    <w:rsid w:val="00F20678"/>
    <w:rsid w:val="00F21405"/>
    <w:rsid w:val="00F2587F"/>
    <w:rsid w:val="00F265A0"/>
    <w:rsid w:val="00F32FD8"/>
    <w:rsid w:val="00F35E3C"/>
    <w:rsid w:val="00F40CC1"/>
    <w:rsid w:val="00F4521E"/>
    <w:rsid w:val="00F46F72"/>
    <w:rsid w:val="00F52A27"/>
    <w:rsid w:val="00F642B1"/>
    <w:rsid w:val="00F72740"/>
    <w:rsid w:val="00F86288"/>
    <w:rsid w:val="00F908EC"/>
    <w:rsid w:val="00F91F09"/>
    <w:rsid w:val="00F96862"/>
    <w:rsid w:val="00F97C62"/>
    <w:rsid w:val="00FA0A8A"/>
    <w:rsid w:val="00FB0395"/>
    <w:rsid w:val="00FC50E2"/>
    <w:rsid w:val="00FC79E4"/>
    <w:rsid w:val="00FD26B6"/>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kpo@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42658</Words>
  <Characters>24316</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2022-12-22T10:16:00Z</cp:lastPrinted>
  <dcterms:created xsi:type="dcterms:W3CDTF">2023-04-01T09:57:00Z</dcterms:created>
  <dcterms:modified xsi:type="dcterms:W3CDTF">2023-04-01T11:36:00Z</dcterms:modified>
</cp:coreProperties>
</file>