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Примірний договір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5F3515">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5F3515" w:rsidRPr="005F3515">
        <w:rPr>
          <w:b/>
          <w:color w:val="000000"/>
          <w:sz w:val="24"/>
          <w:szCs w:val="24"/>
          <w:bdr w:val="none" w:sz="0" w:space="0" w:color="auto" w:frame="1"/>
          <w:lang w:eastAsia="ru-RU"/>
        </w:rPr>
        <w:t>Труни меблеві за кодом CPV ДК 021:2015 – Фурнітура різна – за кодом CPV за ДК 021:2015 – 39290000-1</w:t>
      </w:r>
      <w:r w:rsidR="00AB248F">
        <w:rPr>
          <w:b/>
          <w:sz w:val="24"/>
          <w:szCs w:val="24"/>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Розрахунки проводяться шляхом оплати Покупцем</w:t>
      </w:r>
      <w:r w:rsidR="005F3515">
        <w:rPr>
          <w:sz w:val="24"/>
          <w:szCs w:val="24"/>
        </w:rPr>
        <w:t xml:space="preserve"> після реалізації товару</w:t>
      </w:r>
      <w:r w:rsidRPr="004E0B85">
        <w:rPr>
          <w:sz w:val="24"/>
          <w:szCs w:val="24"/>
        </w:rPr>
        <w:t xml:space="preserve"> протягом </w:t>
      </w:r>
      <w:r w:rsidR="00D270D3">
        <w:rPr>
          <w:sz w:val="24"/>
          <w:szCs w:val="24"/>
        </w:rPr>
        <w:t>60</w:t>
      </w:r>
      <w:r w:rsidRPr="004E0B85">
        <w:rPr>
          <w:sz w:val="24"/>
          <w:szCs w:val="24"/>
        </w:rPr>
        <w:t xml:space="preserve"> (</w:t>
      </w:r>
      <w:r w:rsidR="00D270D3">
        <w:rPr>
          <w:sz w:val="24"/>
          <w:szCs w:val="24"/>
        </w:rPr>
        <w:t>шістдесяти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 xml:space="preserve">23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D270D3">
        <w:rPr>
          <w:sz w:val="24"/>
          <w:szCs w:val="24"/>
        </w:rPr>
        <w:t>6</w:t>
      </w:r>
      <w:r w:rsidR="004E0D89" w:rsidRPr="006275D6">
        <w:rPr>
          <w:sz w:val="24"/>
          <w:szCs w:val="24"/>
        </w:rPr>
        <w:t>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00D270D3">
        <w:rPr>
          <w:sz w:val="24"/>
          <w:szCs w:val="24"/>
        </w:rPr>
        <w:t xml:space="preserve"> товару</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bookmarkStart w:id="1" w:name="_GoBack"/>
      <w:bookmarkEnd w:id="1"/>
    </w:p>
    <w:p w:rsidR="00957F9E" w:rsidRPr="00957F9E" w:rsidRDefault="00957F9E" w:rsidP="00957F9E">
      <w:pPr>
        <w:pStyle w:val="3"/>
        <w:tabs>
          <w:tab w:val="left" w:pos="709"/>
          <w:tab w:val="left" w:pos="851"/>
          <w:tab w:val="left" w:pos="1134"/>
          <w:tab w:val="left" w:pos="1276"/>
          <w:tab w:val="left" w:pos="1418"/>
        </w:tabs>
        <w:spacing w:after="0" w:line="240" w:lineRule="auto"/>
        <w:ind w:right="23"/>
        <w:jc w:val="center"/>
        <w:rPr>
          <w:sz w:val="24"/>
          <w:szCs w:val="24"/>
        </w:rPr>
      </w:pPr>
      <w:r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23</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5" w:name="bookmark5"/>
      <w:r w:rsidRPr="006D75C1">
        <w:rPr>
          <w:sz w:val="24"/>
          <w:szCs w:val="24"/>
        </w:rPr>
        <w:t xml:space="preserve">11. </w:t>
      </w:r>
      <w:bookmarkEnd w:id="5"/>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9"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480"/>
        <w:gridCol w:w="1162"/>
        <w:gridCol w:w="1785"/>
        <w:gridCol w:w="1850"/>
        <w:gridCol w:w="1703"/>
      </w:tblGrid>
      <w:tr w:rsidR="00AB248F" w:rsidRPr="006275D6" w:rsidTr="005F3515">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480"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162"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5F3515">
        <w:trPr>
          <w:trHeight w:hRule="exact" w:val="918"/>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480" w:type="dxa"/>
            <w:tcBorders>
              <w:top w:val="single" w:sz="4" w:space="0" w:color="auto"/>
              <w:left w:val="single" w:sz="4" w:space="0" w:color="auto"/>
            </w:tcBorders>
          </w:tcPr>
          <w:p w:rsidR="00AB248F" w:rsidRPr="00654A40" w:rsidRDefault="005F3515" w:rsidP="007516AF">
            <w:pPr>
              <w:pStyle w:val="3"/>
              <w:spacing w:after="0" w:line="274" w:lineRule="exact"/>
              <w:jc w:val="left"/>
            </w:pPr>
            <w:r w:rsidRPr="005F3515">
              <w:rPr>
                <w:rStyle w:val="11"/>
              </w:rPr>
              <w:t>Труни чотиригранні меблеві лаковані з обойною вставкою</w:t>
            </w:r>
          </w:p>
        </w:tc>
        <w:tc>
          <w:tcPr>
            <w:tcW w:w="1162"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шт.</w:t>
            </w:r>
          </w:p>
        </w:tc>
        <w:tc>
          <w:tcPr>
            <w:tcW w:w="1785" w:type="dxa"/>
            <w:tcBorders>
              <w:top w:val="single" w:sz="4" w:space="0" w:color="auto"/>
              <w:left w:val="single" w:sz="4" w:space="0" w:color="auto"/>
            </w:tcBorders>
          </w:tcPr>
          <w:p w:rsidR="00AB248F" w:rsidRPr="00654A40" w:rsidRDefault="005F3515" w:rsidP="00583882">
            <w:pPr>
              <w:jc w:val="center"/>
              <w:rPr>
                <w:rFonts w:ascii="Times New Roman" w:hAnsi="Times New Roman" w:cs="Times New Roman"/>
              </w:rPr>
            </w:pPr>
            <w:r>
              <w:rPr>
                <w:rFonts w:ascii="Times New Roman" w:hAnsi="Times New Roman" w:cs="Times New Roman"/>
              </w:rPr>
              <w:t>1</w:t>
            </w:r>
            <w:r w:rsidR="00583882">
              <w:rPr>
                <w:rFonts w:ascii="Times New Roman" w:hAnsi="Times New Roman" w:cs="Times New Roman"/>
              </w:rPr>
              <w:t>4</w:t>
            </w:r>
            <w:r>
              <w:rPr>
                <w:rFonts w:ascii="Times New Roman" w:hAnsi="Times New Roman" w:cs="Times New Roman"/>
              </w:rPr>
              <w:t>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5F3515" w:rsidRPr="006275D6" w:rsidTr="005F3515">
        <w:trPr>
          <w:trHeight w:hRule="exact" w:val="847"/>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2.</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шестигранні меблеві лаковані з обойною вставкою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шт.</w:t>
            </w:r>
          </w:p>
        </w:tc>
        <w:tc>
          <w:tcPr>
            <w:tcW w:w="1785" w:type="dxa"/>
            <w:tcBorders>
              <w:top w:val="single" w:sz="4" w:space="0" w:color="auto"/>
              <w:left w:val="single" w:sz="4" w:space="0" w:color="auto"/>
            </w:tcBorders>
          </w:tcPr>
          <w:p w:rsidR="005F3515" w:rsidRDefault="005F3515" w:rsidP="00583882">
            <w:pPr>
              <w:jc w:val="center"/>
              <w:rPr>
                <w:rFonts w:ascii="Times New Roman" w:hAnsi="Times New Roman" w:cs="Times New Roman"/>
              </w:rPr>
            </w:pPr>
            <w:r>
              <w:rPr>
                <w:rFonts w:ascii="Times New Roman" w:hAnsi="Times New Roman" w:cs="Times New Roman"/>
              </w:rPr>
              <w:t>1</w:t>
            </w:r>
            <w:r w:rsidR="00583882">
              <w:rPr>
                <w:rFonts w:ascii="Times New Roman" w:hAnsi="Times New Roman" w:cs="Times New Roman"/>
              </w:rPr>
              <w:t>4</w:t>
            </w:r>
            <w:r>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844"/>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3.</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восьмигранні меблеві лаковані з обойною вставкою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proofErr w:type="spellStart"/>
            <w:r>
              <w:rPr>
                <w:rFonts w:ascii="Times New Roman" w:hAnsi="Times New Roman" w:cs="Times New Roman"/>
              </w:rPr>
              <w:t>щт</w:t>
            </w:r>
            <w:proofErr w:type="spellEnd"/>
            <w:r>
              <w:rPr>
                <w:rFonts w:ascii="Times New Roman" w:hAnsi="Times New Roman" w:cs="Times New Roman"/>
              </w:rPr>
              <w:t>.</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5</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857"/>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4.</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шестикутні драпіровані тканиною бархат</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шт..</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7</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571"/>
        </w:trPr>
        <w:tc>
          <w:tcPr>
            <w:tcW w:w="781" w:type="dxa"/>
            <w:tcBorders>
              <w:top w:val="single" w:sz="4" w:space="0" w:color="auto"/>
              <w:left w:val="single" w:sz="4" w:space="0" w:color="auto"/>
            </w:tcBorders>
          </w:tcPr>
          <w:p w:rsidR="005F3515" w:rsidRDefault="005F3515" w:rsidP="00DF6110">
            <w:pPr>
              <w:jc w:val="center"/>
              <w:rPr>
                <w:rFonts w:ascii="Times New Roman" w:hAnsi="Times New Roman" w:cs="Times New Roman"/>
              </w:rPr>
            </w:pPr>
            <w:r>
              <w:rPr>
                <w:rFonts w:ascii="Times New Roman" w:hAnsi="Times New Roman" w:cs="Times New Roman"/>
              </w:rPr>
              <w:t>5.</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оздоблені декоративною різьбою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 xml:space="preserve">шт.. </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3</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AB248F" w:rsidRPr="006275D6" w:rsidTr="005F3515">
        <w:trPr>
          <w:trHeight w:hRule="exact" w:val="551"/>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5F3515">
        <w:trPr>
          <w:trHeight w:hRule="exact" w:val="289"/>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5F3515">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87"/>
      </w:tblGrid>
      <w:tr w:rsidR="00243D58" w:rsidRPr="0054264B" w:rsidTr="005F3515">
        <w:trPr>
          <w:trHeight w:val="4492"/>
        </w:trPr>
        <w:tc>
          <w:tcPr>
            <w:tcW w:w="4686"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687"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D9" w:rsidRDefault="000315D9" w:rsidP="000B79D1">
      <w:r>
        <w:separator/>
      </w:r>
    </w:p>
  </w:endnote>
  <w:endnote w:type="continuationSeparator" w:id="0">
    <w:p w:rsidR="000315D9" w:rsidRDefault="000315D9"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D9" w:rsidRDefault="000315D9" w:rsidP="000B79D1">
      <w:r>
        <w:separator/>
      </w:r>
    </w:p>
  </w:footnote>
  <w:footnote w:type="continuationSeparator" w:id="0">
    <w:p w:rsidR="000315D9" w:rsidRDefault="000315D9"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15D9"/>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61513"/>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E114A"/>
    <w:rsid w:val="003F78C4"/>
    <w:rsid w:val="0043449B"/>
    <w:rsid w:val="004346DF"/>
    <w:rsid w:val="00442806"/>
    <w:rsid w:val="004460D7"/>
    <w:rsid w:val="00452DBA"/>
    <w:rsid w:val="0047645F"/>
    <w:rsid w:val="00480E11"/>
    <w:rsid w:val="004A6075"/>
    <w:rsid w:val="004C1FD3"/>
    <w:rsid w:val="004C2BC7"/>
    <w:rsid w:val="004E0B85"/>
    <w:rsid w:val="004E0D89"/>
    <w:rsid w:val="00502BA1"/>
    <w:rsid w:val="00512CB4"/>
    <w:rsid w:val="0051767B"/>
    <w:rsid w:val="00544AE2"/>
    <w:rsid w:val="0054777F"/>
    <w:rsid w:val="00560EC3"/>
    <w:rsid w:val="00573E1C"/>
    <w:rsid w:val="00583882"/>
    <w:rsid w:val="005D6BDE"/>
    <w:rsid w:val="005E1449"/>
    <w:rsid w:val="005F255D"/>
    <w:rsid w:val="005F3515"/>
    <w:rsid w:val="005F4B0A"/>
    <w:rsid w:val="005F6A73"/>
    <w:rsid w:val="0060119A"/>
    <w:rsid w:val="006130F5"/>
    <w:rsid w:val="00623925"/>
    <w:rsid w:val="006275D6"/>
    <w:rsid w:val="00654A40"/>
    <w:rsid w:val="006708F0"/>
    <w:rsid w:val="006729B8"/>
    <w:rsid w:val="0067733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EF7"/>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68D7"/>
    <w:rsid w:val="00C31270"/>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270D3"/>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15963</Words>
  <Characters>9099</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12</cp:revision>
  <cp:lastPrinted>2021-10-04T12:46:00Z</cp:lastPrinted>
  <dcterms:created xsi:type="dcterms:W3CDTF">2023-02-12T21:20:00Z</dcterms:created>
  <dcterms:modified xsi:type="dcterms:W3CDTF">2023-04-01T11:31:00Z</dcterms:modified>
</cp:coreProperties>
</file>