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ab/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bCs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uk-UA"/>
        </w:rPr>
      </w:pPr>
      <w:r>
        <w:rPr>
          <w:rFonts w:cs="Times New Roman" w:ascii="Times New Roman" w:hAnsi="Times New Roman"/>
          <w:bCs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lang w:val="uk-UA"/>
        </w:rPr>
        <w:t xml:space="preserve">: 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lang w:val="uk-UA"/>
        </w:rPr>
        <w:t>1.</w:t>
      </w:r>
      <w:r>
        <w:rPr>
          <w:rFonts w:cs="Times New Roman" w:ascii="Times New Roman" w:hAnsi="Times New Roman"/>
          <w:b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 xml:space="preserve">Аксесуари для одягу, придбання яких </w:t>
      </w:r>
      <w:r>
        <w:rPr>
          <w:rFonts w:eastAsia="Arial" w:cs="Times New Roman" w:ascii="Times New Roman" w:hAnsi="Times New Roman"/>
          <w:b/>
          <w:lang w:val="uk-UA"/>
        </w:rPr>
        <w:t xml:space="preserve">здійснюється на виконання реалізації заходів для забезпечення внутрішньо-переміщених та\або евакуйованих осіб Маріупольської міської територіальної громади, зокрема м. Маріуполя у мережі Центрів підтримки  «Я Маріуполь»,      </w:t>
      </w:r>
      <w:r>
        <w:rPr>
          <w:rFonts w:cs="Times New Roman" w:ascii="Times New Roman" w:hAnsi="Times New Roman"/>
          <w:b/>
        </w:rPr>
        <w:t>код ДК 021:2015: 18420000-9 - Аксесуари для одягу.</w:t>
      </w:r>
    </w:p>
    <w:p>
      <w:pPr>
        <w:pStyle w:val="Normal"/>
        <w:spacing w:lineRule="auto" w:line="240" w:before="0" w:after="0"/>
        <w:ind w:left="6" w:hanging="0"/>
        <w:jc w:val="center"/>
        <w:rPr>
          <w:rFonts w:ascii="Times New Roman" w:hAnsi="Times New Roman" w:cs="Times New Roman"/>
          <w:b/>
          <w:b/>
          <w:shd w:fill="FFFFFF" w:val="clear"/>
        </w:rPr>
      </w:pPr>
      <w:r>
        <w:rPr>
          <w:rFonts w:cs="Times New Roman" w:ascii="Times New Roman" w:hAnsi="Times New Roman"/>
          <w:b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>2. Технічні, якісні та кількісні характеристики предмета закупівлі:</w:t>
      </w:r>
    </w:p>
    <w:tbl>
      <w:tblPr>
        <w:tblW w:w="9832" w:type="dxa"/>
        <w:jc w:val="left"/>
        <w:tblInd w:w="-31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0"/>
        <w:gridCol w:w="2493"/>
        <w:gridCol w:w="4217"/>
        <w:gridCol w:w="979"/>
        <w:gridCol w:w="1693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lang w:val="uk-UA"/>
              </w:rPr>
              <w:t>з/п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Наіменування</w:t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Технічна характеристика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Одиниці виміру 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left"/>
              <w:rPr/>
            </w:pPr>
            <w:r>
              <w:rPr>
                <w:rFonts w:cs="Times New Roman" w:ascii="Times New Roman" w:hAnsi="Times New Roman"/>
                <w:lang w:val="uk-UA"/>
              </w:rPr>
              <w:t>Кількість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Значок металевий «Дорожний вказівник три надписи» за наданим макетом</w:t>
            </w:r>
          </w:p>
          <w:p>
            <w:pPr>
              <w:pStyle w:val="Default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– хімічне травлення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Метал - латунь.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– нікель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Товщина - 1 мм.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Емалі – 2 шт по макету.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Кріплення – «метелик» срібло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– 35х30 мм.                                                                   Пакування кожної одиниці в окрему коробочку 10*7 см з фігурною висічкою, папір крейдований 300 г/м, 4+0. Вкладення та кріплення піна на листівку 10*7 см, папір крейдованний 300 г/м, 4+4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Значок металевий «Вежа» за наданим макетом</w:t>
            </w:r>
          </w:p>
          <w:p>
            <w:pPr>
              <w:pStyle w:val="Default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– хімічне травлення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Метал - латунь.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– нікель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Товщина - 1 мм.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Емалі – 2 шт по макету.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Кріплення – «метелик»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– 35х30 мм.                                                                   Пакування кожної одиниці в окрему коробочку 10*7 см з фігурною висічкою, папір крейдований 300 г/м, 4+0. Вкладення та кріплення піна на листівку 10*7 см, папір крейдованний 300 г/м, 4+4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Значок металевий 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за наданим макетом                                                                                  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– хімічне травлення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Метал - латунь.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– нікель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Товщина - 1 мм.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Емалі – 3 шт,по макету 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Кріплення – «метелик»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– 35х30 мм.                                                                   Пакування кожної одиниці в окрему коробочку 10*7 см з фігурною висічкою, папір крейдований 300 г/м, 4+0. Вкладення та кріплення піна на листівку 10*7 см, папір крейдованний 300 г/м, 4+4"</w:t>
            </w:r>
          </w:p>
          <w:p>
            <w:pPr>
              <w:pStyle w:val="Style22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шт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left"/>
              <w:rPr/>
            </w:pPr>
            <w:r>
              <w:rPr>
                <w:rFonts w:cs="Times New Roman" w:ascii="Times New Roman" w:hAnsi="Times New Roman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Значок металевий "Дорожний вказівник» за наданим макетом                                             </w:t>
            </w:r>
          </w:p>
          <w:p>
            <w:pPr>
              <w:pStyle w:val="Default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– хімічне травлення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Метал - латунь.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– нікель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Товщина - 1 мм.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Емалі – 2 шт по макету.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Кріплення – «метелик»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Розмір – 35х15 мм.                                                                   Пакування кожної одиниці в окрему коробочку 10*7 см з фігурною висічкою, папір крейдований 100 г/м, 4+0. Вкладення та кріплення піна на листівку 10*7 см, папір крейдованний 300 г/м, 4+4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left"/>
              <w:rPr/>
            </w:pPr>
            <w:r>
              <w:rPr>
                <w:rFonts w:cs="Times New Roman" w:ascii="Times New Roman" w:hAnsi="Times New Roman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Значок металевий «Карта України+Mariupol» за наданим макетом</w:t>
            </w:r>
          </w:p>
          <w:p>
            <w:pPr>
              <w:pStyle w:val="Style22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4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Технологія - хімічне травлення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Метал - латунь.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Покриття - нікель (під срібло)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Товщина - 1 мм.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Емалі – 2 шт по макету.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Кріплення – «метелик» (під срібло)</w:t>
            </w:r>
          </w:p>
          <w:p>
            <w:pPr>
              <w:pStyle w:val="Default"/>
              <w:widowControl w:val="false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Розмір – 35х30 мм Пакування кожної одиниці в пакет прозорий, клапан клей. Вкладення та кріплення піна на листівку 8*7 см, папір крейдованний 300 г/м, 4+4" </w:t>
            </w:r>
          </w:p>
          <w:p>
            <w:pPr>
              <w:pStyle w:val="Style22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3. Місце поставки товару: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80" w:leader="none"/>
        </w:tabs>
        <w:jc w:val="both"/>
        <w:rPr>
          <w:rFonts w:ascii="Times New Roman" w:hAnsi="Times New Roman" w:cs="Times New Roman"/>
          <w:shd w:fill="FDFEFD" w:val="clear"/>
        </w:rPr>
      </w:pPr>
      <w:r>
        <w:rPr>
          <w:rFonts w:cs="Times New Roman" w:ascii="Times New Roman" w:hAnsi="Times New Roman"/>
          <w:shd w:fill="FDFEFD" w:val="clear"/>
        </w:rPr>
        <w:t>02000, Україна, Київ, вул. Антоновича, 39, і далі, відповідно до заявки замовника.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6. Макети надаються виробнику після підписання договору.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e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qFormat/>
    <w:rsid w:val="00250e99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50e99"/>
    <w:rPr>
      <w:rFonts w:cs="Times New Roman"/>
      <w:b/>
      <w:bCs/>
    </w:rPr>
  </w:style>
  <w:style w:type="character" w:styleId="WW8Num2z2" w:customStyle="1">
    <w:name w:val="WW8Num2z2"/>
    <w:qFormat/>
    <w:rsid w:val="00416e1b"/>
    <w:rPr>
      <w:rFonts w:ascii="Wingdings" w:hAnsi="Wingdings" w:cs="Wingdings"/>
    </w:rPr>
  </w:style>
  <w:style w:type="paragraph" w:styleId="Style13" w:customStyle="1">
    <w:name w:val="Заголовок"/>
    <w:basedOn w:val="Normal"/>
    <w:next w:val="Style14"/>
    <w:qFormat/>
    <w:rsid w:val="00250e9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250e99"/>
    <w:pPr>
      <w:spacing w:lineRule="auto" w:line="276" w:before="0" w:after="140"/>
    </w:pPr>
    <w:rPr/>
  </w:style>
  <w:style w:type="paragraph" w:styleId="Style15">
    <w:name w:val="List"/>
    <w:basedOn w:val="Style14"/>
    <w:rsid w:val="00250e99"/>
    <w:pPr/>
    <w:rPr>
      <w:rFonts w:cs="Arial"/>
    </w:rPr>
  </w:style>
  <w:style w:type="paragraph" w:styleId="Style16" w:customStyle="1">
    <w:name w:val="Caption"/>
    <w:basedOn w:val="Normal"/>
    <w:qFormat/>
    <w:rsid w:val="00250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250e99"/>
    <w:pPr>
      <w:suppressLineNumbers/>
    </w:pPr>
    <w:rPr>
      <w:rFonts w:cs="Arial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 w:customStyle="1">
    <w:name w:val="Текст в заданном формате"/>
    <w:basedOn w:val="Normal"/>
    <w:qFormat/>
    <w:rsid w:val="00250e99"/>
    <w:pPr/>
    <w:rPr/>
  </w:style>
  <w:style w:type="paragraph" w:styleId="Style19" w:customStyle="1">
    <w:name w:val="Текст у вказаному форматі"/>
    <w:basedOn w:val="Normal"/>
    <w:qFormat/>
    <w:rsid w:val="00250e99"/>
    <w:pPr/>
    <w:rPr>
      <w:rFonts w:ascii="Liberation Mono" w:hAnsi="Liberation Mono" w:eastAsia="Liberation Mono" w:cs="Liberation Mono"/>
      <w:sz w:val="20"/>
      <w:szCs w:val="20"/>
    </w:rPr>
  </w:style>
  <w:style w:type="paragraph" w:styleId="Style20" w:customStyle="1">
    <w:name w:val="Вміст таблиці"/>
    <w:basedOn w:val="Normal"/>
    <w:qFormat/>
    <w:rsid w:val="00250e99"/>
    <w:pPr>
      <w:widowControl w:val="false"/>
      <w:suppressLineNumbers/>
    </w:pPr>
    <w:rPr/>
  </w:style>
  <w:style w:type="paragraph" w:styleId="Style21" w:customStyle="1">
    <w:name w:val="Заголовок таблиці"/>
    <w:basedOn w:val="Style20"/>
    <w:qFormat/>
    <w:rsid w:val="00250e99"/>
    <w:pPr>
      <w:jc w:val="center"/>
    </w:pPr>
    <w:rPr>
      <w:b/>
      <w:bCs/>
    </w:rPr>
  </w:style>
  <w:style w:type="paragraph" w:styleId="Default" w:customStyle="1">
    <w:name w:val="Default"/>
    <w:qFormat/>
    <w:rsid w:val="00250e9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Onormal" w:customStyle="1">
    <w:name w:val="LO-normal"/>
    <w:qFormat/>
    <w:rsid w:val="00250e99"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 w:customStyle="1">
    <w:name w:val="Содержимое таблицы"/>
    <w:basedOn w:val="Normal"/>
    <w:qFormat/>
    <w:rsid w:val="00250e99"/>
    <w:pPr/>
    <w:rPr/>
  </w:style>
  <w:style w:type="paragraph" w:styleId="ListParagraph">
    <w:name w:val="List Paragraph"/>
    <w:basedOn w:val="Normal"/>
    <w:qFormat/>
    <w:rsid w:val="00957611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ff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Application>LibreOffice/7.4.2.3$Windows_X86_64 LibreOffice_project/382eef1f22670f7f4118c8c2dd222ec7ad009daf</Application>
  <AppVersion>15.0000</AppVersion>
  <Pages>2</Pages>
  <Words>467</Words>
  <Characters>2738</Characters>
  <CharactersWithSpaces>3769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2023-09-15T18:57:29Z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