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7335FC">
      <w:pPr>
        <w:ind w:left="6237"/>
        <w:jc w:val="both"/>
        <w:rPr>
          <w:rFonts w:ascii="Times New Roman" w:eastAsia="SimSun" w:hAnsi="Times New Roman" w:cs="Times New Roman"/>
          <w:lang w:eastAsia="en-US"/>
        </w:rPr>
      </w:pPr>
      <w:r w:rsidRPr="00A16173">
        <w:rPr>
          <w:rFonts w:ascii="Times New Roman" w:eastAsia="SimSun" w:hAnsi="Times New Roman" w:cs="Times New Roman"/>
          <w:highlight w:val="yellow"/>
          <w:lang w:eastAsia="en-US"/>
        </w:rPr>
        <w:t xml:space="preserve">№ </w:t>
      </w:r>
      <w:r w:rsidR="00750210">
        <w:rPr>
          <w:rFonts w:ascii="Times New Roman" w:eastAsia="SimSun" w:hAnsi="Times New Roman" w:cs="Times New Roman"/>
          <w:highlight w:val="yellow"/>
          <w:lang w:eastAsia="en-US"/>
        </w:rPr>
        <w:t>158</w:t>
      </w:r>
      <w:r w:rsidRPr="00A16173">
        <w:rPr>
          <w:rFonts w:ascii="Times New Roman" w:eastAsia="SimSun" w:hAnsi="Times New Roman" w:cs="Times New Roman"/>
          <w:highlight w:val="yellow"/>
          <w:lang w:eastAsia="en-US"/>
        </w:rPr>
        <w:t xml:space="preserve"> від </w:t>
      </w:r>
      <w:r w:rsidR="00750210">
        <w:rPr>
          <w:rFonts w:ascii="Times New Roman" w:eastAsia="SimSun" w:hAnsi="Times New Roman" w:cs="Times New Roman"/>
          <w:highlight w:val="yellow"/>
          <w:lang w:eastAsia="en-US"/>
        </w:rPr>
        <w:t>22</w:t>
      </w:r>
      <w:r w:rsidR="003E67F8" w:rsidRPr="00A16173">
        <w:rPr>
          <w:rFonts w:ascii="Times New Roman" w:eastAsia="SimSun" w:hAnsi="Times New Roman" w:cs="Times New Roman"/>
          <w:highlight w:val="yellow"/>
          <w:lang w:eastAsia="en-US"/>
        </w:rPr>
        <w:t>.11</w:t>
      </w:r>
      <w:r w:rsidR="00B46188" w:rsidRPr="00A16173">
        <w:rPr>
          <w:rFonts w:ascii="Times New Roman" w:eastAsia="SimSun" w:hAnsi="Times New Roman" w:cs="Times New Roman"/>
          <w:highlight w:val="yellow"/>
          <w:lang w:eastAsia="en-US"/>
        </w:rPr>
        <w:t>.2023</w:t>
      </w:r>
      <w:r w:rsidRPr="00A16173">
        <w:rPr>
          <w:rFonts w:ascii="Times New Roman" w:eastAsia="SimSun" w:hAnsi="Times New Roman" w:cs="Times New Roman"/>
          <w:highlight w:val="yellow"/>
          <w:lang w:eastAsia="en-US"/>
        </w:rPr>
        <w:t>року</w:t>
      </w:r>
      <w:r w:rsidRPr="005910F6">
        <w:rPr>
          <w:rFonts w:ascii="Times New Roman" w:eastAsia="SimSun" w:hAnsi="Times New Roman" w:cs="Times New Roman"/>
          <w:lang w:eastAsia="en-US"/>
        </w:rPr>
        <w:t xml:space="preserve">                                          </w:t>
      </w: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7335FC">
      <w:pPr>
        <w:spacing w:after="0"/>
        <w:ind w:left="6237"/>
        <w:jc w:val="both"/>
        <w:rPr>
          <w:rFonts w:ascii="Times New Roman" w:eastAsia="SimSun" w:hAnsi="Times New Roman" w:cs="Times New Roman"/>
          <w:lang w:eastAsia="en-US"/>
        </w:rPr>
      </w:pP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                                                                                   </w:t>
      </w:r>
      <w:r w:rsidR="007335FC">
        <w:rPr>
          <w:rFonts w:ascii="Times New Roman" w:eastAsia="SimSun" w:hAnsi="Times New Roman" w:cs="Times New Roman"/>
          <w:lang w:eastAsia="en-US"/>
        </w:rPr>
        <w:t xml:space="preserve">                            </w:t>
      </w:r>
      <w:r w:rsidRPr="005910F6">
        <w:rPr>
          <w:rFonts w:ascii="Times New Roman" w:eastAsia="SimSun" w:hAnsi="Times New Roman" w:cs="Times New Roman"/>
          <w:lang w:eastAsia="en-US"/>
        </w:rPr>
        <w:t>(підпис)                                     (ПІБ)</w:t>
      </w:r>
    </w:p>
    <w:p w:rsidR="005910F6" w:rsidRDefault="005910F6"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Pr="00EE08B9" w:rsidRDefault="007335FC" w:rsidP="00BF5695">
      <w:pPr>
        <w:pStyle w:val="HTML1"/>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proofErr w:type="gramStart"/>
      <w:r w:rsidRPr="00EE08B9">
        <w:rPr>
          <w:rFonts w:ascii="Times New Roman" w:hAnsi="Times New Roman" w:cs="Times New Roman"/>
          <w:b/>
          <w:sz w:val="24"/>
          <w:szCs w:val="24"/>
        </w:rPr>
        <w:t>на</w:t>
      </w:r>
      <w:proofErr w:type="gramEnd"/>
      <w:r w:rsidRPr="00EE08B9">
        <w:rPr>
          <w:rFonts w:ascii="Times New Roman" w:hAnsi="Times New Roman" w:cs="Times New Roman"/>
          <w:b/>
          <w:sz w:val="24"/>
          <w:szCs w:val="24"/>
        </w:rPr>
        <w:t xml:space="preserve"> </w:t>
      </w:r>
      <w:proofErr w:type="spellStart"/>
      <w:r w:rsidRPr="00EE08B9">
        <w:rPr>
          <w:rFonts w:ascii="Times New Roman" w:hAnsi="Times New Roman" w:cs="Times New Roman"/>
          <w:b/>
          <w:sz w:val="24"/>
          <w:szCs w:val="24"/>
        </w:rPr>
        <w:t>закупівлю</w:t>
      </w:r>
      <w:proofErr w:type="spellEnd"/>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A16173" w:rsidRDefault="00A16173" w:rsidP="00A16173">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ng-binding"/>
          <w:rFonts w:ascii="Times New Roman" w:hAnsi="Times New Roman" w:cs="Times New Roman"/>
          <w:b/>
          <w:sz w:val="24"/>
          <w:szCs w:val="24"/>
          <w:shd w:val="clear" w:color="auto" w:fill="FFFFFF"/>
          <w:lang w:val="uk-UA"/>
        </w:rPr>
      </w:pPr>
      <w:proofErr w:type="spellStart"/>
      <w:r w:rsidRPr="004A2163">
        <w:rPr>
          <w:rFonts w:ascii="Times New Roman" w:hAnsi="Times New Roman" w:cs="Times New Roman"/>
          <w:b/>
          <w:sz w:val="24"/>
          <w:szCs w:val="24"/>
          <w:lang w:val="uk-UA"/>
        </w:rPr>
        <w:t>ДК</w:t>
      </w:r>
      <w:proofErr w:type="spellEnd"/>
      <w:r w:rsidRPr="004A2163">
        <w:rPr>
          <w:rFonts w:ascii="Times New Roman" w:hAnsi="Times New Roman" w:cs="Times New Roman"/>
          <w:b/>
          <w:sz w:val="24"/>
          <w:szCs w:val="24"/>
          <w:lang w:val="uk-UA"/>
        </w:rPr>
        <w:t xml:space="preserve"> 021:2015 код </w:t>
      </w:r>
      <w:r w:rsidRPr="00676009">
        <w:rPr>
          <w:rFonts w:ascii="Times New Roman" w:hAnsi="Times New Roman" w:cs="Times New Roman"/>
          <w:b/>
          <w:sz w:val="24"/>
          <w:szCs w:val="24"/>
        </w:rPr>
        <w:t>45110000-1 - </w:t>
      </w:r>
      <w:proofErr w:type="spellStart"/>
      <w:r w:rsidRPr="00676009">
        <w:rPr>
          <w:rFonts w:ascii="Times New Roman" w:hAnsi="Times New Roman" w:cs="Times New Roman"/>
          <w:b/>
          <w:sz w:val="24"/>
          <w:szCs w:val="24"/>
        </w:rPr>
        <w:t>Руйнування</w:t>
      </w:r>
      <w:proofErr w:type="spellEnd"/>
      <w:r w:rsidRPr="00676009">
        <w:rPr>
          <w:rFonts w:ascii="Times New Roman" w:hAnsi="Times New Roman" w:cs="Times New Roman"/>
          <w:b/>
          <w:sz w:val="24"/>
          <w:szCs w:val="24"/>
        </w:rPr>
        <w:t xml:space="preserve"> та </w:t>
      </w:r>
      <w:proofErr w:type="spellStart"/>
      <w:r w:rsidRPr="00676009">
        <w:rPr>
          <w:rFonts w:ascii="Times New Roman" w:hAnsi="Times New Roman" w:cs="Times New Roman"/>
          <w:b/>
          <w:sz w:val="24"/>
          <w:szCs w:val="24"/>
        </w:rPr>
        <w:t>знесення</w:t>
      </w:r>
      <w:proofErr w:type="spellEnd"/>
      <w:r w:rsidRPr="00676009">
        <w:rPr>
          <w:rFonts w:ascii="Times New Roman" w:hAnsi="Times New Roman" w:cs="Times New Roman"/>
          <w:b/>
          <w:sz w:val="24"/>
          <w:szCs w:val="24"/>
        </w:rPr>
        <w:t xml:space="preserve"> </w:t>
      </w:r>
      <w:proofErr w:type="spellStart"/>
      <w:r w:rsidRPr="00676009">
        <w:rPr>
          <w:rFonts w:ascii="Times New Roman" w:hAnsi="Times New Roman" w:cs="Times New Roman"/>
          <w:b/>
          <w:sz w:val="24"/>
          <w:szCs w:val="24"/>
        </w:rPr>
        <w:t>будівель</w:t>
      </w:r>
      <w:proofErr w:type="spellEnd"/>
      <w:r w:rsidRPr="00676009">
        <w:rPr>
          <w:rFonts w:ascii="Times New Roman" w:hAnsi="Times New Roman" w:cs="Times New Roman"/>
          <w:b/>
          <w:sz w:val="24"/>
          <w:szCs w:val="24"/>
        </w:rPr>
        <w:t xml:space="preserve"> </w:t>
      </w:r>
      <w:proofErr w:type="spellStart"/>
      <w:r w:rsidRPr="00676009">
        <w:rPr>
          <w:rFonts w:ascii="Times New Roman" w:hAnsi="Times New Roman" w:cs="Times New Roman"/>
          <w:b/>
          <w:sz w:val="24"/>
          <w:szCs w:val="24"/>
        </w:rPr>
        <w:t>і</w:t>
      </w:r>
      <w:proofErr w:type="spellEnd"/>
      <w:r w:rsidRPr="00676009">
        <w:rPr>
          <w:rFonts w:ascii="Times New Roman" w:hAnsi="Times New Roman" w:cs="Times New Roman"/>
          <w:b/>
          <w:sz w:val="24"/>
          <w:szCs w:val="24"/>
        </w:rPr>
        <w:t xml:space="preserve"> </w:t>
      </w:r>
      <w:proofErr w:type="spellStart"/>
      <w:r w:rsidRPr="00676009">
        <w:rPr>
          <w:rFonts w:ascii="Times New Roman" w:hAnsi="Times New Roman" w:cs="Times New Roman"/>
          <w:b/>
          <w:sz w:val="24"/>
          <w:szCs w:val="24"/>
        </w:rPr>
        <w:t>земляні</w:t>
      </w:r>
      <w:proofErr w:type="spellEnd"/>
      <w:r w:rsidRPr="00676009">
        <w:rPr>
          <w:rFonts w:ascii="Times New Roman" w:hAnsi="Times New Roman" w:cs="Times New Roman"/>
          <w:b/>
          <w:sz w:val="24"/>
          <w:szCs w:val="24"/>
        </w:rPr>
        <w:t xml:space="preserve"> </w:t>
      </w:r>
      <w:proofErr w:type="spellStart"/>
      <w:r w:rsidRPr="00676009">
        <w:rPr>
          <w:rFonts w:ascii="Times New Roman" w:hAnsi="Times New Roman" w:cs="Times New Roman"/>
          <w:b/>
          <w:sz w:val="24"/>
          <w:szCs w:val="24"/>
        </w:rPr>
        <w:t>роботи</w:t>
      </w:r>
      <w:proofErr w:type="spellEnd"/>
      <w:r w:rsidRPr="004A2163">
        <w:rPr>
          <w:rStyle w:val="ng-binding"/>
          <w:rFonts w:ascii="Times New Roman" w:hAnsi="Times New Roman" w:cs="Times New Roman"/>
          <w:b/>
          <w:sz w:val="24"/>
          <w:szCs w:val="24"/>
          <w:shd w:val="clear" w:color="auto" w:fill="FFFFFF"/>
          <w:lang w:val="uk-UA"/>
        </w:rPr>
        <w:t xml:space="preserve">  </w:t>
      </w:r>
    </w:p>
    <w:p w:rsidR="00A16173" w:rsidRDefault="00A16173" w:rsidP="00A16173">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A11"/>
          <w:rFonts w:ascii="Times New Roman" w:hAnsi="Times New Roman" w:cs="Times New Roman"/>
          <w:b/>
          <w:sz w:val="24"/>
          <w:szCs w:val="24"/>
          <w:lang w:val="uk-UA"/>
        </w:rPr>
      </w:pPr>
      <w:r w:rsidRPr="004A2163">
        <w:rPr>
          <w:rStyle w:val="ng-binding"/>
          <w:rFonts w:ascii="Times New Roman" w:hAnsi="Times New Roman" w:cs="Times New Roman"/>
          <w:b/>
          <w:sz w:val="24"/>
          <w:szCs w:val="24"/>
          <w:shd w:val="clear" w:color="auto" w:fill="FFFFFF"/>
          <w:lang w:val="uk-UA"/>
        </w:rPr>
        <w:t xml:space="preserve">      (</w:t>
      </w:r>
      <w:r>
        <w:rPr>
          <w:rStyle w:val="ng-binding"/>
          <w:rFonts w:ascii="Times New Roman" w:hAnsi="Times New Roman" w:cs="Times New Roman"/>
          <w:b/>
          <w:sz w:val="24"/>
          <w:szCs w:val="24"/>
          <w:shd w:val="clear" w:color="auto" w:fill="FFFFFF"/>
          <w:lang w:val="uk-UA"/>
        </w:rPr>
        <w:t>Благоустрій кладовищ</w:t>
      </w:r>
      <w:r w:rsidRPr="004A2163">
        <w:rPr>
          <w:rStyle w:val="ng-binding"/>
          <w:rFonts w:ascii="Times New Roman" w:hAnsi="Times New Roman" w:cs="Times New Roman"/>
          <w:b/>
          <w:sz w:val="24"/>
          <w:szCs w:val="24"/>
          <w:shd w:val="clear" w:color="auto" w:fill="FFFFFF"/>
          <w:lang w:val="uk-UA"/>
        </w:rPr>
        <w:t>)</w:t>
      </w:r>
      <w:r w:rsidRPr="004A2163">
        <w:rPr>
          <w:rStyle w:val="A11"/>
          <w:rFonts w:ascii="Times New Roman" w:hAnsi="Times New Roman" w:cs="Times New Roman"/>
          <w:b/>
          <w:sz w:val="24"/>
          <w:szCs w:val="24"/>
          <w:lang w:val="uk-UA"/>
        </w:rPr>
        <w:t xml:space="preserve"> </w:t>
      </w: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P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335FC" w:rsidRDefault="007335FC" w:rsidP="007335FC">
      <w:pPr>
        <w:jc w:val="center"/>
        <w:rPr>
          <w:rFonts w:ascii="Times New Roman" w:eastAsia="SimSun" w:hAnsi="Times New Roman" w:cs="Times New Roman"/>
          <w:b/>
          <w:lang w:eastAsia="en-US"/>
        </w:rPr>
      </w:pPr>
    </w:p>
    <w:p w:rsidR="007335FC" w:rsidRDefault="007335FC" w:rsidP="007335FC">
      <w:pPr>
        <w:jc w:val="center"/>
        <w:rPr>
          <w:rFonts w:ascii="Times New Roman" w:eastAsia="SimSun" w:hAnsi="Times New Roman" w:cs="Times New Roman"/>
          <w:b/>
          <w:lang w:eastAsia="en-US"/>
        </w:rPr>
      </w:pPr>
    </w:p>
    <w:p w:rsidR="00BF5695" w:rsidRDefault="007D369E" w:rsidP="007335FC">
      <w:pPr>
        <w:jc w:val="center"/>
        <w:rPr>
          <w:rFonts w:ascii="Times New Roman" w:eastAsia="Times New Roman" w:hAnsi="Times New Roman" w:cs="Times New Roman"/>
          <w:b/>
          <w:bCs/>
          <w:sz w:val="28"/>
          <w:szCs w:val="24"/>
          <w:lang w:eastAsia="ar-SA"/>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00B46188">
        <w:rPr>
          <w:rFonts w:ascii="Times New Roman" w:eastAsia="SimSun" w:hAnsi="Times New Roman" w:cs="Times New Roman"/>
          <w:b/>
          <w:lang w:eastAsia="en-US"/>
        </w:rPr>
        <w:t>–</w:t>
      </w:r>
      <w:proofErr w:type="spellEnd"/>
      <w:r w:rsidR="00B46188">
        <w:rPr>
          <w:rFonts w:ascii="Times New Roman" w:eastAsia="SimSun" w:hAnsi="Times New Roman" w:cs="Times New Roman"/>
          <w:b/>
          <w:lang w:eastAsia="en-US"/>
        </w:rPr>
        <w:t xml:space="preserve"> 2023</w:t>
      </w:r>
      <w:r w:rsidRPr="001077D0">
        <w:rPr>
          <w:rFonts w:ascii="Times New Roman" w:eastAsia="SimSun" w:hAnsi="Times New Roman" w:cs="Times New Roman"/>
          <w:b/>
          <w:lang w:eastAsia="en-US"/>
        </w:rPr>
        <w:t xml:space="preserve"> рік</w:t>
      </w:r>
    </w:p>
    <w:p w:rsidR="00BF5695" w:rsidRPr="002A4D14" w:rsidRDefault="00BF5695" w:rsidP="007335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 xml:space="preserve">      </w:t>
      </w:r>
      <w:r w:rsidRPr="002A4D14">
        <w:rPr>
          <w:rFonts w:ascii="Times New Roman CYR" w:eastAsia="Times New Roman" w:hAnsi="Times New Roman CYR" w:cs="Times New Roman CYR"/>
          <w:color w:val="000000"/>
          <w:sz w:val="24"/>
          <w:szCs w:val="24"/>
        </w:rPr>
        <w:t xml:space="preserve">Тендерну документацію розроблено </w:t>
      </w:r>
      <w:r w:rsidRPr="002A4D14">
        <w:rPr>
          <w:rFonts w:ascii="Times New Roman" w:eastAsia="Times New Roman" w:hAnsi="Times New Roman" w:cs="Times New Roman"/>
          <w:sz w:val="24"/>
          <w:szCs w:val="24"/>
          <w:lang w:eastAsia="ru-RU"/>
        </w:rPr>
        <w:t>керуючись</w:t>
      </w:r>
      <w:r w:rsidRPr="002A4D14">
        <w:rPr>
          <w:rFonts w:ascii="Times New Roman CYR" w:eastAsia="Times New Roman" w:hAnsi="Times New Roman CYR" w:cs="Times New Roman CYR"/>
          <w:color w:val="000000"/>
          <w:sz w:val="24"/>
          <w:szCs w:val="24"/>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2A4D14">
          <w:rPr>
            <w:rFonts w:ascii="Times New Roman CYR" w:eastAsia="Times New Roman" w:hAnsi="Times New Roman CYR" w:cs="Times New Roman CYR"/>
            <w:color w:val="000000"/>
            <w:sz w:val="24"/>
            <w:szCs w:val="24"/>
            <w:bdr w:val="none" w:sz="0" w:space="0" w:color="auto" w:frame="1"/>
          </w:rPr>
          <w:t>Закону</w:t>
        </w:r>
      </w:hyperlink>
      <w:r w:rsidRPr="002A4D14">
        <w:rPr>
          <w:rFonts w:ascii="Times New Roman CYR" w:eastAsia="Times New Roman" w:hAnsi="Times New Roman CYR" w:cs="Times New Roman CYR"/>
          <w:color w:val="000000"/>
          <w:sz w:val="24"/>
          <w:szCs w:val="24"/>
          <w:bdr w:val="none" w:sz="0" w:space="0" w:color="auto" w:frame="1"/>
        </w:rPr>
        <w:t xml:space="preserve"> України «Про публічні закупівлі» (далі – Закон)</w:t>
      </w:r>
      <w:r w:rsidRPr="002A4D14">
        <w:rPr>
          <w:rFonts w:ascii="Times New Roman CYR" w:eastAsia="Times New Roman" w:hAnsi="Times New Roman CYR" w:cs="Times New Roman CYR"/>
          <w:color w:val="000000"/>
          <w:sz w:val="24"/>
          <w:szCs w:val="24"/>
        </w:rPr>
        <w:t>, та інших нормативних документів чинного законодавства у сфері публічних закупівель.</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A662F6" w:rsidRPr="00794037" w:rsidRDefault="00BF5695" w:rsidP="00794037">
            <w:pPr>
              <w:pStyle w:val="11"/>
              <w:widowControl w:val="0"/>
              <w:spacing w:line="240" w:lineRule="auto"/>
              <w:jc w:val="both"/>
              <w:rPr>
                <w:rFonts w:ascii="Times New Roman" w:eastAsia="Times New Roman" w:hAnsi="Times New Roman" w:cs="Times New Roman"/>
                <w:lang w:val="uk-UA"/>
              </w:rPr>
            </w:pPr>
            <w:r w:rsidRPr="007B07C1">
              <w:rPr>
                <w:rFonts w:ascii="Times New Roman" w:eastAsia="Times New Roman" w:hAnsi="Times New Roman" w:cs="Times New Roman"/>
                <w:sz w:val="24"/>
                <w:szCs w:val="24"/>
                <w:lang w:val="uk-UA" w:eastAsia="uk-UA"/>
              </w:rPr>
              <w:t xml:space="preserve">Терміни та вимоги вживаються в значеннях та редакціях, визначених Законом </w:t>
            </w:r>
            <w:r w:rsidRPr="007B07C1">
              <w:rPr>
                <w:rFonts w:ascii="Times New Roman" w:eastAsia="Times New Roman" w:hAnsi="Times New Roman" w:cs="Times New Roman"/>
                <w:sz w:val="24"/>
                <w:szCs w:val="24"/>
                <w:bdr w:val="none" w:sz="0" w:space="0" w:color="auto" w:frame="1"/>
                <w:lang w:val="uk-UA" w:eastAsia="uk-UA"/>
              </w:rPr>
              <w:t xml:space="preserve">України «Про публічні закупівлі» </w:t>
            </w:r>
            <w:r w:rsidRPr="007B07C1">
              <w:rPr>
                <w:rFonts w:ascii="Times New Roman" w:eastAsia="Times New Roman" w:hAnsi="Times New Roman" w:cs="Times New Roman"/>
                <w:sz w:val="24"/>
                <w:szCs w:val="24"/>
                <w:lang w:val="uk-UA" w:eastAsia="uk-UA"/>
              </w:rPr>
              <w:t>та постанови Кабінету Міністрів України від 12 жовтня 2022 року №</w:t>
            </w:r>
            <w:r w:rsidRPr="007B07C1">
              <w:rPr>
                <w:rFonts w:ascii="Times New Roman" w:eastAsia="Times New Roman" w:hAnsi="Times New Roman" w:cs="Times New Roman"/>
                <w:sz w:val="24"/>
                <w:szCs w:val="24"/>
                <w:lang w:eastAsia="uk-UA"/>
              </w:rPr>
              <w:t> </w:t>
            </w:r>
            <w:r w:rsidRPr="007B07C1">
              <w:rPr>
                <w:rFonts w:ascii="Times New Roman" w:eastAsia="Times New Roman" w:hAnsi="Times New Roman" w:cs="Times New Roman"/>
                <w:sz w:val="24"/>
                <w:szCs w:val="24"/>
                <w:lang w:val="uk-UA" w:eastAsia="uk-UA"/>
              </w:rPr>
              <w:t xml:space="preserve">1178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A662F6" w:rsidRPr="00794037" w:rsidRDefault="00BF5695" w:rsidP="00BF5695">
            <w:pPr>
              <w:shd w:val="clear" w:color="auto" w:fill="FFFFFF"/>
              <w:spacing w:after="0" w:line="240" w:lineRule="auto"/>
              <w:textAlignment w:val="baseline"/>
              <w:rPr>
                <w:rFonts w:ascii="Times New Roman" w:eastAsia="Times New Roman" w:hAnsi="Times New Roman" w:cs="Times New Roman"/>
                <w:color w:val="000000"/>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A16173" w:rsidRDefault="00A16173" w:rsidP="00A16173">
            <w:pPr>
              <w:widowControl w:val="0"/>
              <w:autoSpaceDE w:val="0"/>
              <w:autoSpaceDN w:val="0"/>
              <w:spacing w:after="0"/>
              <w:jc w:val="both"/>
              <w:rPr>
                <w:rFonts w:ascii="Times New Roman" w:eastAsia="Times New Roman" w:hAnsi="Times New Roman" w:cs="Times New Roman"/>
                <w:b/>
                <w:color w:val="000000"/>
                <w:sz w:val="24"/>
                <w:szCs w:val="24"/>
                <w:shd w:val="clear" w:color="auto" w:fill="FFFFFF"/>
              </w:rPr>
            </w:pPr>
            <w:proofErr w:type="spellStart"/>
            <w:r w:rsidRPr="00A16173">
              <w:rPr>
                <w:rFonts w:ascii="Times New Roman" w:eastAsia="Times New Roman" w:hAnsi="Times New Roman" w:cs="Times New Roman"/>
                <w:color w:val="000000"/>
                <w:sz w:val="24"/>
                <w:szCs w:val="24"/>
              </w:rPr>
              <w:t>ДК</w:t>
            </w:r>
            <w:proofErr w:type="spellEnd"/>
            <w:r w:rsidRPr="00A16173">
              <w:rPr>
                <w:rFonts w:ascii="Times New Roman" w:eastAsia="Times New Roman" w:hAnsi="Times New Roman" w:cs="Times New Roman"/>
                <w:color w:val="000000"/>
                <w:sz w:val="24"/>
                <w:szCs w:val="24"/>
              </w:rPr>
              <w:t xml:space="preserve"> 021:2015 код 45110000-1 - Руйнування та знесення будівель і земляні роботи  (Благоустрій кладовищ)</w:t>
            </w:r>
            <w:r w:rsidRPr="00A16173">
              <w:rPr>
                <w:rStyle w:val="A11"/>
                <w:rFonts w:ascii="Times New Roman" w:hAnsi="Times New Roman" w:cs="Times New Roman"/>
                <w:b/>
                <w:sz w:val="24"/>
                <w:szCs w:val="24"/>
              </w:rPr>
              <w:t xml:space="preserve">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A16173" w:rsidRDefault="00B33E5D" w:rsidP="00794037">
            <w:pPr>
              <w:pStyle w:val="11"/>
              <w:widowControl w:val="0"/>
              <w:spacing w:line="240" w:lineRule="auto"/>
              <w:ind w:right="113"/>
              <w:rPr>
                <w:rFonts w:ascii="Times New Roman" w:hAnsi="Times New Roman" w:cs="Times New Roman"/>
                <w:color w:val="auto"/>
                <w:sz w:val="24"/>
                <w:szCs w:val="24"/>
                <w:lang w:val="uk-UA"/>
              </w:rPr>
            </w:pPr>
            <w:r w:rsidRPr="00A16173">
              <w:rPr>
                <w:rFonts w:ascii="Times New Roman" w:hAnsi="Times New Roman" w:cs="Times New Roman"/>
                <w:sz w:val="24"/>
                <w:szCs w:val="24"/>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BF5695" w:rsidRDefault="00B33E5D" w:rsidP="00794037">
            <w:pPr>
              <w:spacing w:after="0"/>
              <w:ind w:right="142"/>
              <w:rPr>
                <w:rFonts w:ascii="Times New Roman" w:hAnsi="Times New Roman" w:cs="Times New Roman"/>
              </w:rPr>
            </w:pPr>
            <w:r w:rsidRPr="00BF5695">
              <w:rPr>
                <w:rFonts w:ascii="Times New Roman" w:hAnsi="Times New Roman" w:cs="Times New Roman"/>
                <w:b/>
              </w:rPr>
              <w:t xml:space="preserve">м. Новий Буг </w:t>
            </w:r>
          </w:p>
          <w:p w:rsidR="00DA5913" w:rsidRPr="00BF5695" w:rsidRDefault="00B33E5D" w:rsidP="00794037">
            <w:pPr>
              <w:pStyle w:val="LO-normal"/>
              <w:spacing w:line="240" w:lineRule="auto"/>
              <w:rPr>
                <w:rFonts w:ascii="Times New Roman" w:hAnsi="Times New Roman" w:cs="Times New Roman"/>
                <w:color w:val="auto"/>
                <w:lang w:val="uk-UA" w:eastAsia="ru-RU"/>
              </w:rPr>
            </w:pPr>
            <w:r w:rsidRPr="00BF5695">
              <w:rPr>
                <w:rFonts w:ascii="Times New Roman" w:hAnsi="Times New Roman" w:cs="Times New Roman"/>
                <w:b/>
                <w:bCs/>
                <w:color w:val="auto"/>
                <w:lang w:val="uk-UA"/>
              </w:rPr>
              <w:t xml:space="preserve">Обсяг надання послуг – </w:t>
            </w:r>
            <w:r w:rsidRPr="00BF5695">
              <w:rPr>
                <w:rFonts w:ascii="Times New Roman" w:hAnsi="Times New Roman" w:cs="Times New Roman"/>
                <w:b/>
                <w:bCs/>
                <w:color w:val="auto"/>
              </w:rPr>
              <w:t xml:space="preserve">1 </w:t>
            </w:r>
            <w:proofErr w:type="spellStart"/>
            <w:r w:rsidRPr="00BF5695">
              <w:rPr>
                <w:rFonts w:ascii="Times New Roman" w:hAnsi="Times New Roman" w:cs="Times New Roman"/>
                <w:b/>
                <w:bCs/>
                <w:color w:val="auto"/>
              </w:rPr>
              <w:t>послуга</w:t>
            </w:r>
            <w:proofErr w:type="spellEnd"/>
            <w:r w:rsidRPr="00BF5695">
              <w:rPr>
                <w:rFonts w:ascii="Times New Roman" w:hAnsi="Times New Roman" w:cs="Times New Roman"/>
                <w:b/>
                <w:bCs/>
                <w:color w:val="auto"/>
                <w:lang w:val="uk-UA"/>
              </w:rPr>
              <w:t xml:space="preserve">. </w:t>
            </w:r>
            <w:proofErr w:type="spellStart"/>
            <w:r w:rsidRPr="00BF5695">
              <w:rPr>
                <w:rFonts w:ascii="Times New Roman" w:hAnsi="Times New Roman" w:cs="Times New Roman"/>
                <w:color w:val="auto"/>
              </w:rPr>
              <w:t>Кількість</w:t>
            </w:r>
            <w:proofErr w:type="spellEnd"/>
            <w:r w:rsidRPr="00BF5695">
              <w:rPr>
                <w:rFonts w:ascii="Times New Roman" w:hAnsi="Times New Roman" w:cs="Times New Roman"/>
                <w:color w:val="auto"/>
              </w:rPr>
              <w:t xml:space="preserve"> та </w:t>
            </w:r>
            <w:proofErr w:type="spellStart"/>
            <w:r w:rsidRPr="00BF5695">
              <w:rPr>
                <w:rFonts w:ascii="Times New Roman" w:hAnsi="Times New Roman" w:cs="Times New Roman"/>
                <w:color w:val="auto"/>
              </w:rPr>
              <w:t>обсяг</w:t>
            </w:r>
            <w:proofErr w:type="spellEnd"/>
            <w:r w:rsidRPr="00BF5695">
              <w:rPr>
                <w:rFonts w:ascii="Times New Roman" w:hAnsi="Times New Roman" w:cs="Times New Roman"/>
                <w:color w:val="auto"/>
              </w:rPr>
              <w:t xml:space="preserve"> – </w:t>
            </w:r>
            <w:proofErr w:type="spellStart"/>
            <w:r w:rsidRPr="00BF5695">
              <w:rPr>
                <w:rFonts w:ascii="Times New Roman" w:hAnsi="Times New Roman" w:cs="Times New Roman"/>
                <w:color w:val="auto"/>
              </w:rPr>
              <w:t>відповідно</w:t>
            </w:r>
            <w:proofErr w:type="spellEnd"/>
            <w:r w:rsidRPr="00BF5695">
              <w:rPr>
                <w:rFonts w:ascii="Times New Roman" w:hAnsi="Times New Roman" w:cs="Times New Roman"/>
                <w:color w:val="auto"/>
              </w:rPr>
              <w:t xml:space="preserve"> до </w:t>
            </w:r>
            <w:proofErr w:type="spellStart"/>
            <w:r w:rsidRPr="00BF5695">
              <w:rPr>
                <w:rFonts w:ascii="Times New Roman" w:hAnsi="Times New Roman" w:cs="Times New Roman"/>
                <w:color w:val="auto"/>
              </w:rPr>
              <w:t>Технічного</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завдання</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додаток</w:t>
            </w:r>
            <w:proofErr w:type="spellEnd"/>
            <w:r w:rsidRPr="00BF5695">
              <w:rPr>
                <w:rFonts w:ascii="Times New Roman" w:hAnsi="Times New Roman" w:cs="Times New Roman"/>
                <w:color w:val="auto"/>
              </w:rPr>
              <w:t xml:space="preserve"> № </w:t>
            </w:r>
            <w:r w:rsidRPr="00BF5695">
              <w:rPr>
                <w:rFonts w:ascii="Times New Roman" w:hAnsi="Times New Roman" w:cs="Times New Roman"/>
                <w:color w:val="auto"/>
                <w:lang w:val="uk-UA"/>
              </w:rPr>
              <w:t>3</w:t>
            </w:r>
            <w:r w:rsidRPr="00BF5695">
              <w:rPr>
                <w:rFonts w:ascii="Times New Roman" w:hAnsi="Times New Roman" w:cs="Times New Roman"/>
                <w:color w:val="auto"/>
              </w:rPr>
              <w:t>).</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B46188">
              <w:rPr>
                <w:rFonts w:ascii="Times New Roman" w:hAnsi="Times New Roman" w:cs="Times New Roman"/>
                <w:lang w:val="uk-UA"/>
              </w:rPr>
              <w:t>3</w:t>
            </w:r>
            <w:r w:rsidR="00BC435B" w:rsidRPr="00794037">
              <w:rPr>
                <w:rFonts w:ascii="Times New Roman" w:hAnsi="Times New Roman" w:cs="Times New Roman"/>
                <w:lang w:val="uk-UA"/>
              </w:rPr>
              <w:t xml:space="preserve"> року</w:t>
            </w:r>
          </w:p>
        </w:tc>
      </w:tr>
      <w:tr w:rsidR="00B33E5D" w:rsidRPr="00794037" w:rsidTr="00AA5D94">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750210" w:rsidP="00794037">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1208120,00</w:t>
            </w:r>
            <w:r w:rsidR="00B33E5D" w:rsidRPr="00794037">
              <w:rPr>
                <w:rFonts w:ascii="Times New Roman" w:hAnsi="Times New Roman" w:cs="Times New Roman"/>
              </w:rPr>
              <w:t>грн. з ПДВ/без ПДВ</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273" w:type="dxa"/>
            <w:vAlign w:val="center"/>
          </w:tcPr>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 xml:space="preserve">Вітчизняні та іноземні учасники всіх форм власності та організаційно – правових форм беруть участь у </w:t>
            </w:r>
            <w:r w:rsidRPr="007B07C1">
              <w:rPr>
                <w:rFonts w:ascii="Times New Roman" w:eastAsia="Times New Roman" w:hAnsi="Times New Roman" w:cs="Times New Roman"/>
                <w:sz w:val="24"/>
                <w:szCs w:val="24"/>
                <w:bdr w:val="none" w:sz="0" w:space="0" w:color="auto" w:frame="1"/>
                <w:lang w:val="uk-UA"/>
              </w:rPr>
              <w:lastRenderedPageBreak/>
              <w:t>процедурах закупівель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BF5695" w:rsidRPr="007B07C1" w:rsidRDefault="00BF5695" w:rsidP="00BF5695">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F5695" w:rsidRPr="007B07C1" w:rsidRDefault="00BF5695" w:rsidP="00BF5695">
            <w:pPr>
              <w:pStyle w:val="11"/>
              <w:widowControl w:val="0"/>
              <w:spacing w:line="240" w:lineRule="auto"/>
              <w:ind w:left="34" w:right="113" w:hanging="21"/>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7.3. </w:t>
            </w:r>
            <w:r w:rsidRPr="007B07C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BF5695" w:rsidRPr="007B07C1" w:rsidRDefault="00BF5695" w:rsidP="00BF5695">
            <w:pPr>
              <w:spacing w:after="0" w:line="240" w:lineRule="auto"/>
              <w:ind w:left="34"/>
              <w:rPr>
                <w:rFonts w:ascii="Times New Roman" w:eastAsia="Times New Roman" w:hAnsi="Times New Roman" w:cs="Times New Roman"/>
                <w:sz w:val="24"/>
                <w:szCs w:val="24"/>
              </w:rPr>
            </w:pPr>
            <w:r w:rsidRPr="007B07C1">
              <w:rPr>
                <w:rFonts w:ascii="Times New Roman" w:hAnsi="Times New Roman" w:cs="Times New Roman"/>
                <w:sz w:val="24"/>
                <w:szCs w:val="24"/>
              </w:rPr>
              <w:t xml:space="preserve">2.1. </w:t>
            </w:r>
            <w:r w:rsidRPr="007B07C1">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w:t>
            </w:r>
            <w:r w:rsidRPr="007B07C1">
              <w:rPr>
                <w:rFonts w:ascii="Times New Roman" w:eastAsia="Times New Roman" w:hAnsi="Times New Roman" w:cs="Times New Roman"/>
                <w:sz w:val="24"/>
                <w:szCs w:val="24"/>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5695" w:rsidRPr="007B07C1" w:rsidRDefault="00BF5695" w:rsidP="00BF5695">
            <w:pPr>
              <w:spacing w:after="0" w:line="240" w:lineRule="auto"/>
              <w:ind w:left="34"/>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5695" w:rsidRPr="007B07C1" w:rsidRDefault="00BF5695" w:rsidP="00BF5695">
            <w:pPr>
              <w:pStyle w:val="11"/>
              <w:widowControl w:val="0"/>
              <w:spacing w:line="240" w:lineRule="auto"/>
              <w:ind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3. Інструкція з підготовки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щодо відповідності учасника вимогам, визначеним у п. 47 Особливостей;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тендерна форма «Пропозиція» за формою, яка наведена у </w:t>
            </w:r>
            <w:r w:rsidRPr="007335FC">
              <w:rPr>
                <w:rFonts w:ascii="Times New Roman" w:eastAsia="Times New Roman" w:hAnsi="Times New Roman" w:cs="Times New Roman"/>
                <w:b/>
                <w:sz w:val="24"/>
                <w:szCs w:val="24"/>
                <w:lang w:eastAsia="ru-RU"/>
              </w:rPr>
              <w:t>Додатку № 4</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про субпідрядника (субпідрядників) за формою, яка наведена у </w:t>
            </w:r>
            <w:r w:rsidRPr="007335FC">
              <w:rPr>
                <w:rFonts w:ascii="Times New Roman" w:eastAsia="Times New Roman" w:hAnsi="Times New Roman" w:cs="Times New Roman"/>
                <w:b/>
                <w:sz w:val="24"/>
                <w:szCs w:val="24"/>
                <w:lang w:eastAsia="ru-RU"/>
              </w:rPr>
              <w:t>Додатку № 5</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7B07C1">
              <w:rPr>
                <w:rFonts w:ascii="Times New Roman" w:eastAsia="Times New Roman" w:hAnsi="Times New Roman" w:cs="Times New Roman"/>
                <w:sz w:val="24"/>
                <w:szCs w:val="24"/>
                <w:lang w:eastAsia="ru-RU"/>
              </w:rPr>
              <w:lastRenderedPageBreak/>
              <w:t>підприємствами / установами / організаціями).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w:t>
            </w:r>
            <w:hyperlink r:id="rId9" w:history="1">
              <w:r w:rsidR="007335FC" w:rsidRPr="004A13D9">
                <w:rPr>
                  <w:rStyle w:val="ac"/>
                  <w:rFonts w:ascii="Times New Roman" w:eastAsia="Times New Roman" w:hAnsi="Times New Roman" w:cs="Times New Roman"/>
                  <w:sz w:val="24"/>
                  <w:szCs w:val="24"/>
                  <w:lang w:eastAsia="ru-RU"/>
                </w:rPr>
                <w:t>https://czo.gov.ua/verify</w:t>
              </w:r>
            </w:hyperlink>
            <w:r w:rsidR="007335FC">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інформаційна довідка, у довільній формі, яка видана </w:t>
            </w:r>
            <w:r w:rsidRPr="007B07C1">
              <w:rPr>
                <w:rFonts w:ascii="Times New Roman" w:eastAsia="Times New Roman" w:hAnsi="Times New Roman" w:cs="Times New Roman"/>
                <w:sz w:val="24"/>
                <w:szCs w:val="24"/>
                <w:lang w:eastAsia="ru-RU"/>
              </w:rPr>
              <w:lastRenderedPageBreak/>
              <w:t>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F5695" w:rsidRPr="007335FC"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b/>
                <w:sz w:val="24"/>
                <w:szCs w:val="24"/>
                <w:u w:val="single"/>
                <w:lang w:eastAsia="ru-RU"/>
              </w:rPr>
            </w:pPr>
            <w:r w:rsidRPr="007335FC">
              <w:rPr>
                <w:rFonts w:ascii="Times New Roman" w:eastAsia="Times New Roman" w:hAnsi="Times New Roman" w:cs="Times New Roman"/>
                <w:b/>
                <w:sz w:val="24"/>
                <w:szCs w:val="24"/>
                <w:u w:val="single"/>
                <w:lang w:eastAsia="ru-RU"/>
              </w:rPr>
              <w:t xml:space="preserve">Не приймається до розгляду тендерна пропозиція, </w:t>
            </w:r>
            <w:r w:rsidRPr="007335FC">
              <w:rPr>
                <w:rFonts w:ascii="Times New Roman" w:eastAsia="Times New Roman" w:hAnsi="Times New Roman" w:cs="Times New Roman"/>
                <w:b/>
                <w:sz w:val="24"/>
                <w:szCs w:val="24"/>
                <w:u w:val="single"/>
                <w:lang w:eastAsia="ru-RU"/>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w:t>
            </w:r>
            <w:r w:rsidRPr="007B07C1">
              <w:rPr>
                <w:rFonts w:ascii="Times New Roman" w:eastAsia="Times New Roman" w:hAnsi="Times New Roman" w:cs="Times New Roman"/>
                <w:sz w:val="24"/>
                <w:szCs w:val="24"/>
                <w:lang w:eastAsia="ru-RU"/>
              </w:rPr>
              <w:lastRenderedPageBreak/>
              <w:t>пропозиція такого  учасника буд</w:t>
            </w:r>
            <w:r w:rsidR="00F14EE9">
              <w:rPr>
                <w:rFonts w:ascii="Times New Roman" w:eastAsia="Times New Roman" w:hAnsi="Times New Roman" w:cs="Times New Roman"/>
                <w:sz w:val="24"/>
                <w:szCs w:val="24"/>
                <w:lang w:eastAsia="ru-RU"/>
              </w:rPr>
              <w:t>е відхилена відповідно пункту 47</w:t>
            </w:r>
            <w:r w:rsidRPr="007B07C1">
              <w:rPr>
                <w:rFonts w:ascii="Times New Roman" w:eastAsia="Times New Roman" w:hAnsi="Times New Roman" w:cs="Times New Roman"/>
                <w:sz w:val="24"/>
                <w:szCs w:val="24"/>
                <w:lang w:eastAsia="ru-RU"/>
              </w:rPr>
              <w:t xml:space="preserve"> Особливостей.</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lastRenderedPageBreak/>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BF5695" w:rsidRPr="007B07C1" w:rsidRDefault="00BF5695" w:rsidP="00BF5695">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BF5695" w:rsidRPr="00794037" w:rsidTr="00AA5D94">
        <w:trPr>
          <w:trHeight w:val="552"/>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335FC" w:rsidRDefault="00BF5695" w:rsidP="007335FC">
            <w:pPr>
              <w:pStyle w:val="11"/>
              <w:widowControl w:val="0"/>
              <w:spacing w:line="240" w:lineRule="auto"/>
              <w:rPr>
                <w:rFonts w:ascii="Times New Roman" w:hAnsi="Times New Roman" w:cs="Times New Roman"/>
                <w:sz w:val="24"/>
                <w:szCs w:val="24"/>
                <w:lang w:val="uk-UA"/>
              </w:rPr>
            </w:pPr>
            <w:r w:rsidRPr="007335FC">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BF5695" w:rsidRPr="007B07C1" w:rsidRDefault="00BF5695" w:rsidP="007335FC">
            <w:pPr>
              <w:pStyle w:val="11"/>
              <w:widowControl w:val="0"/>
              <w:spacing w:line="240" w:lineRule="auto"/>
              <w:ind w:right="113" w:firstLine="459"/>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Не вимагається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335FC" w:rsidRDefault="00BF5695" w:rsidP="00BF5695">
            <w:pPr>
              <w:pStyle w:val="11"/>
              <w:widowControl w:val="0"/>
              <w:spacing w:line="240" w:lineRule="auto"/>
              <w:ind w:right="113"/>
              <w:rPr>
                <w:rFonts w:ascii="Times New Roman" w:hAnsi="Times New Roman" w:cs="Times New Roman"/>
                <w:sz w:val="20"/>
                <w:szCs w:val="20"/>
                <w:lang w:val="uk-UA"/>
              </w:rPr>
            </w:pPr>
            <w:r w:rsidRPr="007335FC">
              <w:rPr>
                <w:rFonts w:ascii="Times New Roman" w:eastAsia="Times New Roman" w:hAnsi="Times New Roman" w:cs="Times New Roman"/>
                <w:sz w:val="20"/>
                <w:szCs w:val="20"/>
                <w:lang w:val="uk-UA"/>
              </w:rPr>
              <w:t>Умови повернення чи неповернення забезпечення тендерної пропозиції</w:t>
            </w:r>
          </w:p>
        </w:tc>
        <w:tc>
          <w:tcPr>
            <w:tcW w:w="6273" w:type="dxa"/>
            <w:vAlign w:val="center"/>
          </w:tcPr>
          <w:p w:rsidR="00BF5695" w:rsidRPr="007B07C1" w:rsidRDefault="00BF5695" w:rsidP="00BF5695">
            <w:pPr>
              <w:pStyle w:val="11"/>
              <w:widowControl w:val="0"/>
              <w:spacing w:line="240" w:lineRule="auto"/>
              <w:ind w:right="113" w:firstLine="388"/>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Не застосовується</w:t>
            </w:r>
          </w:p>
        </w:tc>
      </w:tr>
      <w:tr w:rsidR="00BF5695" w:rsidRPr="00794037" w:rsidTr="00AA5D94">
        <w:trPr>
          <w:trHeight w:val="261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F5695" w:rsidRPr="007B07C1" w:rsidRDefault="00BF5695" w:rsidP="00BF5695">
            <w:pPr>
              <w:pStyle w:val="11"/>
              <w:widowControl w:val="0"/>
              <w:spacing w:line="240" w:lineRule="auto"/>
              <w:ind w:left="459" w:right="113"/>
              <w:rPr>
                <w:rFonts w:ascii="Times New Roman" w:hAnsi="Times New Roman" w:cs="Times New Roman"/>
                <w:sz w:val="24"/>
                <w:szCs w:val="24"/>
                <w:lang w:val="uk-UA"/>
              </w:rPr>
            </w:pPr>
          </w:p>
        </w:tc>
      </w:tr>
      <w:tr w:rsidR="00BF5695" w:rsidRPr="00794037" w:rsidTr="00AA5D94">
        <w:trPr>
          <w:trHeight w:val="263"/>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 xml:space="preserve">якщо учасник не має можливості надати документ, визначений даною документацією, він може надати довідку довільної форми на фірмовому бланку </w:t>
            </w:r>
            <w:r w:rsidRPr="007B07C1">
              <w:rPr>
                <w:rFonts w:ascii="Times New Roman" w:eastAsia="Times New Roman" w:hAnsi="Times New Roman" w:cs="Times New Roman"/>
                <w:iCs/>
                <w:sz w:val="24"/>
                <w:szCs w:val="24"/>
                <w:lang w:eastAsia="ru-RU"/>
              </w:rPr>
              <w:lastRenderedPageBreak/>
              <w:t>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0292D">
              <w:rPr>
                <w:rFonts w:ascii="Times New Roman" w:eastAsia="Times New Roman" w:hAnsi="Times New Roman" w:cs="Times New Roman"/>
                <w:iCs/>
                <w:sz w:val="24"/>
                <w:szCs w:val="24"/>
                <w:lang w:eastAsia="ru-RU"/>
              </w:rPr>
              <w:t xml:space="preserve">, </w:t>
            </w:r>
            <w:r w:rsidR="00F0292D" w:rsidRPr="00F0292D">
              <w:rPr>
                <w:rFonts w:ascii="Times New Roman" w:eastAsia="Times New Roman" w:hAnsi="Times New Roman" w:cs="Times New Roman"/>
                <w:iCs/>
                <w:sz w:val="24"/>
                <w:szCs w:val="24"/>
                <w:lang w:eastAsia="ru-RU"/>
              </w:rPr>
              <w:t>крім випадку, коли активи такої особи в установленому законодавством порядку передані в управління АРМА</w:t>
            </w:r>
            <w:r w:rsidRPr="007B07C1">
              <w:rPr>
                <w:rFonts w:ascii="Times New Roman" w:eastAsia="Times New Roman" w:hAnsi="Times New Roman" w:cs="Times New Roman"/>
                <w:iCs/>
                <w:sz w:val="24"/>
                <w:szCs w:val="24"/>
                <w:lang w:eastAsia="ru-RU"/>
              </w:rPr>
              <w:t>;</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7B07C1">
              <w:rPr>
                <w:rFonts w:ascii="Times New Roman" w:eastAsia="Times New Roman" w:hAnsi="Times New Roman" w:cs="Times New Roman"/>
                <w:iCs/>
                <w:sz w:val="24"/>
                <w:szCs w:val="24"/>
                <w:lang w:eastAsia="ru-RU"/>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w:t>
            </w:r>
            <w:r w:rsidRPr="007335FC">
              <w:rPr>
                <w:rFonts w:ascii="Times New Roman" w:eastAsia="Times New Roman" w:hAnsi="Times New Roman" w:cs="Times New Roman"/>
                <w:b/>
                <w:iCs/>
                <w:sz w:val="24"/>
                <w:szCs w:val="24"/>
                <w:lang w:eastAsia="ru-RU"/>
              </w:rPr>
              <w:t>Додаток 3</w:t>
            </w:r>
            <w:r w:rsidRPr="007B07C1">
              <w:rPr>
                <w:rFonts w:ascii="Times New Roman" w:eastAsia="Times New Roman" w:hAnsi="Times New Roman" w:cs="Times New Roman"/>
                <w:iCs/>
                <w:sz w:val="24"/>
                <w:szCs w:val="24"/>
                <w:lang w:eastAsia="ru-RU"/>
              </w:rPr>
              <w:t xml:space="preserve"> до ТД) за підписом керівника (або уповноваженої особи) Учасника, що містять Перелік і обсяг послуг, які повинні надаватися в рамках договору.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BF5695" w:rsidRPr="007335FC" w:rsidRDefault="00BF5695" w:rsidP="00BF5695">
            <w:pPr>
              <w:pStyle w:val="11"/>
              <w:widowControl w:val="0"/>
              <w:spacing w:line="240" w:lineRule="auto"/>
              <w:ind w:right="113"/>
              <w:rPr>
                <w:rFonts w:ascii="Times New Roman" w:eastAsia="Times New Roman" w:hAnsi="Times New Roman" w:cs="Times New Roman"/>
                <w:sz w:val="20"/>
                <w:szCs w:val="20"/>
                <w:lang w:val="uk-UA"/>
              </w:rPr>
            </w:pPr>
            <w:r w:rsidRPr="007335FC">
              <w:rPr>
                <w:rFonts w:ascii="Times New Roman" w:eastAsia="Times New Roman" w:hAnsi="Times New Roman" w:cs="Times New Roman"/>
                <w:sz w:val="20"/>
                <w:szCs w:val="20"/>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F5695" w:rsidRPr="007B07C1" w:rsidRDefault="00BF5695" w:rsidP="00E85BDC">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Не вимагається замовником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8</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3" w:type="dxa"/>
            <w:vAlign w:val="center"/>
          </w:tcPr>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7B07C1">
              <w:rPr>
                <w:rFonts w:ascii="Times New Roman" w:eastAsia="Times New Roman" w:hAnsi="Times New Roman" w:cs="Times New Roman"/>
                <w:b/>
                <w:sz w:val="24"/>
                <w:szCs w:val="24"/>
                <w:lang w:eastAsia="ru-RU"/>
              </w:rPr>
              <w:t xml:space="preserve"> Додатках №1, №2, №5.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найменування субпідрядника;</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його місцезнаходження;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код за ЄДРПОУ;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w:t>
            </w:r>
            <w:r w:rsidRPr="007B07C1">
              <w:rPr>
                <w:rFonts w:ascii="Times New Roman" w:eastAsia="Times New Roman" w:hAnsi="Times New Roman" w:cs="Times New Roman"/>
                <w:bCs/>
                <w:sz w:val="24"/>
                <w:szCs w:val="24"/>
                <w:lang w:eastAsia="ru-RU"/>
              </w:rPr>
              <w:lastRenderedPageBreak/>
              <w:t>бути чинними).</w:t>
            </w:r>
          </w:p>
          <w:p w:rsidR="00BF5695" w:rsidRPr="007B07C1" w:rsidRDefault="00BF5695" w:rsidP="00BF5695">
            <w:pPr>
              <w:spacing w:after="0" w:line="240" w:lineRule="auto"/>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7B07C1">
              <w:rPr>
                <w:rFonts w:ascii="Times New Roman" w:eastAsia="Times New Roman" w:hAnsi="Times New Roman" w:cs="Times New Roman"/>
                <w:b/>
                <w:sz w:val="24"/>
                <w:szCs w:val="24"/>
                <w:lang w:eastAsia="ru-RU"/>
              </w:rPr>
              <w:t xml:space="preserve"> Додатку № 5.</w:t>
            </w:r>
          </w:p>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 співвиконавця(</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9</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Замовник не може розміщувати щодо одного і того ж </w:t>
            </w:r>
            <w:r w:rsidRPr="007B07C1">
              <w:rPr>
                <w:rFonts w:ascii="Times New Roman" w:eastAsia="Times New Roman" w:hAnsi="Times New Roman" w:cs="Times New Roman"/>
                <w:sz w:val="24"/>
                <w:szCs w:val="24"/>
                <w:lang w:eastAsia="zh-CN"/>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BF5695" w:rsidRPr="007B07C1" w:rsidRDefault="00BF5695" w:rsidP="00BF5695">
            <w:pPr>
              <w:pStyle w:val="11"/>
              <w:widowControl w:val="0"/>
              <w:numPr>
                <w:ilvl w:val="1"/>
                <w:numId w:val="8"/>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00E85BDC">
              <w:rPr>
                <w:rFonts w:ascii="Times New Roman" w:hAnsi="Times New Roman" w:cs="Times New Roman"/>
                <w:sz w:val="24"/>
                <w:szCs w:val="24"/>
                <w:highlight w:val="yellow"/>
                <w:lang w:val="uk-UA"/>
              </w:rPr>
              <w:t>30.11</w:t>
            </w:r>
            <w:r w:rsidRPr="007335FC">
              <w:rPr>
                <w:rFonts w:ascii="Times New Roman" w:hAnsi="Times New Roman" w:cs="Times New Roman"/>
                <w:sz w:val="24"/>
                <w:szCs w:val="24"/>
                <w:highlight w:val="yellow"/>
                <w:lang w:val="uk-UA"/>
              </w:rPr>
              <w:t>.202</w:t>
            </w:r>
            <w:bookmarkStart w:id="4" w:name="_GoBack"/>
            <w:bookmarkEnd w:id="4"/>
            <w:r w:rsidRPr="007335FC">
              <w:rPr>
                <w:rFonts w:ascii="Times New Roman" w:hAnsi="Times New Roman" w:cs="Times New Roman"/>
                <w:sz w:val="24"/>
                <w:szCs w:val="24"/>
                <w:highlight w:val="yellow"/>
                <w:lang w:val="uk-UA"/>
              </w:rPr>
              <w:t>3 00:00</w:t>
            </w:r>
            <w:r w:rsidRPr="007B07C1">
              <w:rPr>
                <w:rFonts w:ascii="Times New Roman" w:hAnsi="Times New Roman" w:cs="Times New Roman"/>
                <w:sz w:val="24"/>
                <w:szCs w:val="24"/>
                <w:lang w:val="uk-UA"/>
              </w:rPr>
              <w:t xml:space="preserve"> год.;</w:t>
            </w:r>
          </w:p>
          <w:p w:rsidR="00BF5695" w:rsidRPr="007B07C1" w:rsidRDefault="00BF5695" w:rsidP="00BF5695">
            <w:pPr>
              <w:pStyle w:val="11"/>
              <w:widowControl w:val="0"/>
              <w:numPr>
                <w:ilvl w:val="1"/>
                <w:numId w:val="8"/>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F5695" w:rsidRPr="007B07C1" w:rsidRDefault="00BF5695" w:rsidP="00BF5695">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5. Оцінка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7B07C1">
              <w:rPr>
                <w:rFonts w:ascii="Times New Roman" w:eastAsia="Times New Roman" w:hAnsi="Times New Roman" w:cs="Times New Roman"/>
                <w:bCs/>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7B07C1">
              <w:rPr>
                <w:rFonts w:ascii="Times New Roman" w:eastAsia="Times New Roman" w:hAnsi="Times New Roman" w:cs="Times New Roman"/>
                <w:bCs/>
                <w:sz w:val="24"/>
                <w:szCs w:val="24"/>
              </w:rPr>
              <w:lastRenderedPageBreak/>
              <w:t>установ, організацій відповідно до їх компетенції.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BF5695" w:rsidRPr="00794037" w:rsidTr="00AA5D94">
        <w:trPr>
          <w:trHeight w:val="520"/>
        </w:trPr>
        <w:tc>
          <w:tcPr>
            <w:tcW w:w="576" w:type="dxa"/>
            <w:vAlign w:val="center"/>
          </w:tcPr>
          <w:p w:rsidR="00BF5695" w:rsidRPr="00727323" w:rsidRDefault="00BF5695" w:rsidP="00BF5695">
            <w:pPr>
              <w:pStyle w:val="11"/>
              <w:widowControl w:val="0"/>
              <w:spacing w:line="240" w:lineRule="auto"/>
              <w:jc w:val="center"/>
              <w:rPr>
                <w:rFonts w:ascii="Times New Roman" w:hAnsi="Times New Roman" w:cs="Times New Roman"/>
                <w:sz w:val="24"/>
                <w:szCs w:val="24"/>
                <w:lang w:val="uk-UA"/>
              </w:rPr>
            </w:pPr>
            <w:r w:rsidRPr="00727323">
              <w:rPr>
                <w:rFonts w:ascii="Times New Roman" w:eastAsia="Times New Roman" w:hAnsi="Times New Roman" w:cs="Times New Roman"/>
                <w:sz w:val="24"/>
                <w:szCs w:val="24"/>
                <w:lang w:val="uk-UA"/>
              </w:rPr>
              <w:lastRenderedPageBreak/>
              <w:t>2</w:t>
            </w:r>
          </w:p>
        </w:tc>
        <w:tc>
          <w:tcPr>
            <w:tcW w:w="3147" w:type="dxa"/>
            <w:vAlign w:val="center"/>
          </w:tcPr>
          <w:p w:rsidR="00BF5695" w:rsidRPr="00727323" w:rsidRDefault="00BF5695" w:rsidP="00BF5695">
            <w:pPr>
              <w:pStyle w:val="11"/>
              <w:widowControl w:val="0"/>
              <w:spacing w:line="240" w:lineRule="auto"/>
              <w:ind w:right="113"/>
              <w:rPr>
                <w:rFonts w:ascii="Times New Roman" w:hAnsi="Times New Roman" w:cs="Times New Roman"/>
                <w:sz w:val="24"/>
                <w:szCs w:val="24"/>
                <w:lang w:val="uk-UA"/>
              </w:rPr>
            </w:pPr>
            <w:r w:rsidRPr="00727323">
              <w:rPr>
                <w:rFonts w:ascii="Times New Roman" w:eastAsia="Times New Roman" w:hAnsi="Times New Roman" w:cs="Times New Roman"/>
                <w:sz w:val="24"/>
                <w:szCs w:val="24"/>
                <w:lang w:val="uk-UA"/>
              </w:rPr>
              <w:t>Інша інформація</w:t>
            </w:r>
          </w:p>
        </w:tc>
        <w:tc>
          <w:tcPr>
            <w:tcW w:w="6273" w:type="dxa"/>
            <w:vAlign w:val="center"/>
          </w:tcPr>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0A5271" w:rsidRPr="00794037" w:rsidRDefault="000A5271" w:rsidP="000A5271">
            <w:pPr>
              <w:widowControl w:val="0"/>
              <w:spacing w:after="0" w:line="240" w:lineRule="auto"/>
              <w:ind w:left="34" w:right="113"/>
              <w:contextualSpacing/>
              <w:jc w:val="both"/>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0A5271" w:rsidRPr="00794037" w:rsidRDefault="000A5271" w:rsidP="000A5271">
            <w:pPr>
              <w:shd w:val="clear" w:color="auto" w:fill="FFFFFF"/>
              <w:spacing w:after="0" w:line="240" w:lineRule="auto"/>
              <w:ind w:left="34"/>
              <w:jc w:val="both"/>
              <w:rPr>
                <w:rFonts w:ascii="Times New Roman" w:hAnsi="Times New Roman" w:cs="Times New Roman"/>
              </w:rPr>
            </w:pPr>
            <w:r w:rsidRPr="00794037">
              <w:rPr>
                <w:rFonts w:ascii="Times New Roman" w:hAnsi="Times New Roman" w:cs="Times New Roman"/>
              </w:rPr>
              <w:t>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0A5271" w:rsidRPr="00794037" w:rsidRDefault="000A5271" w:rsidP="000A5271">
            <w:pPr>
              <w:widowControl w:val="0"/>
              <w:spacing w:after="0" w:line="240" w:lineRule="auto"/>
              <w:ind w:left="34" w:right="113"/>
              <w:contextualSpacing/>
              <w:jc w:val="both"/>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w:t>
            </w:r>
            <w:r w:rsidRPr="00794037">
              <w:rPr>
                <w:rFonts w:ascii="Times New Roman" w:hAnsi="Times New Roman" w:cs="Times New Roman"/>
                <w:color w:val="000000"/>
              </w:rPr>
              <w:lastRenderedPageBreak/>
              <w:t>керівником або виписка з протоколу засновників про призначення директора, президента, голови правління і т.п.);</w:t>
            </w:r>
          </w:p>
          <w:p w:rsidR="000A5271" w:rsidRPr="00794037" w:rsidRDefault="000A5271" w:rsidP="000A5271">
            <w:pPr>
              <w:widowControl w:val="0"/>
              <w:spacing w:after="0" w:line="240" w:lineRule="auto"/>
              <w:ind w:left="34" w:right="113"/>
              <w:contextualSpacing/>
              <w:jc w:val="both"/>
              <w:rPr>
                <w:rFonts w:ascii="Times New Roman" w:hAnsi="Times New Roman" w:cs="Times New Roman"/>
                <w:color w:val="000000"/>
              </w:rPr>
            </w:pPr>
            <w:r w:rsidRPr="00794037">
              <w:rPr>
                <w:rFonts w:ascii="Times New Roman" w:hAnsi="Times New Roman" w:cs="Times New Roman"/>
                <w:color w:val="000000"/>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0A5271" w:rsidRPr="00794037" w:rsidRDefault="000A5271" w:rsidP="000A5271">
            <w:pPr>
              <w:widowControl w:val="0"/>
              <w:spacing w:after="0" w:line="240" w:lineRule="auto"/>
              <w:ind w:left="34" w:right="113"/>
              <w:contextualSpacing/>
              <w:jc w:val="both"/>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Pr>
                <w:rFonts w:ascii="Times New Roman" w:eastAsia="Times New Roman" w:hAnsi="Times New Roman" w:cs="Times New Roman"/>
                <w:b/>
                <w:bCs/>
                <w:iCs/>
                <w:color w:val="000000"/>
              </w:rPr>
              <w:t>Додатку 6</w:t>
            </w:r>
            <w:r w:rsidRPr="00794037">
              <w:rPr>
                <w:rFonts w:ascii="Times New Roman" w:eastAsia="Times New Roman" w:hAnsi="Times New Roman" w:cs="Times New Roman"/>
                <w:b/>
                <w:bCs/>
                <w:iCs/>
                <w:color w:val="000000"/>
              </w:rPr>
              <w:t xml:space="preserve">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0A5271" w:rsidRPr="00794037" w:rsidRDefault="000A5271" w:rsidP="000A5271">
            <w:pPr>
              <w:spacing w:after="0" w:line="240" w:lineRule="auto"/>
              <w:ind w:left="34"/>
              <w:jc w:val="both"/>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w:t>
            </w:r>
            <w:r w:rsidRPr="00794037">
              <w:rPr>
                <w:rFonts w:ascii="Times New Roman" w:hAnsi="Times New Roman" w:cs="Times New Roman"/>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71" w:rsidRPr="00794037" w:rsidRDefault="000A5271" w:rsidP="000A5271">
            <w:pPr>
              <w:pStyle w:val="11"/>
              <w:widowControl w:val="0"/>
              <w:spacing w:line="240" w:lineRule="auto"/>
              <w:ind w:left="34"/>
              <w:jc w:val="both"/>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A5271" w:rsidRPr="00794037" w:rsidRDefault="000A5271" w:rsidP="000A5271">
            <w:pPr>
              <w:spacing w:after="0" w:line="240" w:lineRule="auto"/>
              <w:jc w:val="both"/>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F5695" w:rsidRPr="000A5271" w:rsidRDefault="000A5271" w:rsidP="000A5271">
            <w:pPr>
              <w:pStyle w:val="11"/>
              <w:widowControl w:val="0"/>
              <w:spacing w:line="240" w:lineRule="auto"/>
              <w:ind w:left="34"/>
              <w:jc w:val="both"/>
              <w:rPr>
                <w:rFonts w:ascii="Times New Roman" w:hAnsi="Times New Roman" w:cs="Times New Roman"/>
                <w:sz w:val="24"/>
                <w:szCs w:val="24"/>
                <w:highlight w:val="yellow"/>
                <w:lang w:val="uk-UA"/>
              </w:rPr>
            </w:pPr>
            <w:r w:rsidRPr="00794037">
              <w:rPr>
                <w:rFonts w:ascii="Times New Roman" w:eastAsia="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w:t>
            </w:r>
            <w:r w:rsidRPr="00794037">
              <w:rPr>
                <w:rFonts w:ascii="Times New Roman" w:eastAsia="Times New Roman" w:hAnsi="Times New Roman" w:cs="Times New Roman"/>
                <w:lang w:val="uk-UA"/>
              </w:rPr>
              <w:lastRenderedPageBreak/>
              <w:t>імпортних) та інших документів, пов’язаних із поданням пропозиції, та самостійно несе всі витрати на їх отримання.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B07C1">
              <w:rPr>
                <w:rFonts w:ascii="Times New Roman" w:eastAsia="Times New Roman" w:hAnsi="Times New Roman" w:cs="Times New Roman"/>
                <w:bCs/>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7B07C1">
              <w:rPr>
                <w:rFonts w:ascii="Times New Roman" w:hAnsi="Times New Roman" w:cs="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5695" w:rsidRPr="00794037" w:rsidTr="00AA5D94">
        <w:trPr>
          <w:trHeight w:val="420"/>
        </w:trPr>
        <w:tc>
          <w:tcPr>
            <w:tcW w:w="9996" w:type="dxa"/>
            <w:gridSpan w:val="3"/>
            <w:vAlign w:val="center"/>
          </w:tcPr>
          <w:p w:rsidR="00BF5695" w:rsidRPr="00794037" w:rsidRDefault="00BF5695" w:rsidP="00794037">
            <w:pPr>
              <w:pStyle w:val="11"/>
              <w:widowControl w:val="0"/>
              <w:spacing w:line="240" w:lineRule="auto"/>
              <w:ind w:left="34"/>
              <w:rPr>
                <w:rFonts w:ascii="Times New Roman" w:eastAsia="Times New Roman" w:hAnsi="Times New Roman" w:cs="Times New Roman"/>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bookmarkStart w:id="5" w:name="h.3rdcrjn" w:colFirst="0" w:colLast="0"/>
            <w:bookmarkStart w:id="6" w:name="n857"/>
            <w:bookmarkStart w:id="7" w:name="n860"/>
            <w:bookmarkEnd w:id="5"/>
            <w:bookmarkEnd w:id="6"/>
            <w:bookmarkEnd w:id="7"/>
          </w:p>
        </w:tc>
      </w:tr>
      <w:tr w:rsidR="00BF5695" w:rsidRPr="00794037" w:rsidTr="00AA5D94">
        <w:trPr>
          <w:trHeight w:val="560"/>
        </w:trPr>
        <w:tc>
          <w:tcPr>
            <w:tcW w:w="576" w:type="dxa"/>
            <w:vAlign w:val="center"/>
          </w:tcPr>
          <w:p w:rsidR="00BF5695" w:rsidRPr="007B07C1" w:rsidRDefault="007335FC" w:rsidP="007335FC">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w:t>
            </w:r>
            <w:r w:rsidR="007335FC">
              <w:rPr>
                <w:rFonts w:ascii="Times New Roman" w:eastAsia="Times New Roman" w:hAnsi="Times New Roman" w:cs="Times New Roman"/>
                <w:sz w:val="24"/>
                <w:szCs w:val="24"/>
                <w:lang w:val="uk-UA"/>
              </w:rPr>
              <w:t>нання їх такими, що не відбулися</w:t>
            </w:r>
          </w:p>
        </w:tc>
        <w:tc>
          <w:tcPr>
            <w:tcW w:w="6273" w:type="dxa"/>
            <w:vAlign w:val="center"/>
          </w:tcPr>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7B07C1">
              <w:rPr>
                <w:rFonts w:ascii="Times New Roman" w:eastAsia="Times New Roman" w:hAnsi="Times New Roman" w:cs="Times New Roman"/>
                <w:sz w:val="24"/>
                <w:szCs w:val="24"/>
                <w:lang w:val="uk-UA"/>
              </w:rPr>
              <w:lastRenderedPageBreak/>
              <w:t>торгів.</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5695" w:rsidRPr="00794037" w:rsidTr="00AA5D94">
        <w:trPr>
          <w:trHeight w:val="2261"/>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BF5695" w:rsidRPr="00AA5D94"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AA5D94">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AA5D94">
              <w:rPr>
                <w:rFonts w:ascii="Times New Roman" w:eastAsia="Times New Roman" w:hAnsi="Times New Roman" w:cs="Times New Roman"/>
                <w:bCs/>
                <w:sz w:val="24"/>
                <w:szCs w:val="24"/>
                <w:lang w:eastAsia="ru-RU"/>
              </w:rPr>
              <w:t>проєктом</w:t>
            </w:r>
            <w:proofErr w:type="spellEnd"/>
            <w:r w:rsidRPr="00AA5D94">
              <w:rPr>
                <w:rFonts w:ascii="Times New Roman" w:eastAsia="Times New Roman" w:hAnsi="Times New Roman" w:cs="Times New Roman"/>
                <w:bCs/>
                <w:sz w:val="24"/>
                <w:szCs w:val="24"/>
                <w:lang w:eastAsia="ru-RU"/>
              </w:rPr>
              <w:t xml:space="preserve"> договору. </w:t>
            </w:r>
          </w:p>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BF5695" w:rsidRPr="007B07C1" w:rsidRDefault="00BF5695" w:rsidP="00BF5695">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10">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1">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w:t>
            </w:r>
            <w:r w:rsidRPr="007B07C1">
              <w:rPr>
                <w:rFonts w:ascii="Times New Roman" w:hAnsi="Times New Roman" w:cs="Times New Roman"/>
                <w:sz w:val="24"/>
                <w:szCs w:val="24"/>
                <w:lang w:eastAsia="ru-RU"/>
              </w:rPr>
              <w:lastRenderedPageBreak/>
              <w:t>учасника без зменшення обсягів закупівлі.</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w:t>
            </w:r>
            <w:r w:rsidRPr="007B07C1">
              <w:rPr>
                <w:rFonts w:ascii="Times New Roman" w:hAnsi="Times New Roman" w:cs="Times New Roman"/>
                <w:sz w:val="24"/>
                <w:szCs w:val="24"/>
                <w:lang w:eastAsia="ru-RU"/>
              </w:rPr>
              <w:lastRenderedPageBreak/>
              <w:t>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F5695" w:rsidRPr="007B07C1" w:rsidRDefault="00BF5695" w:rsidP="00BF5695">
            <w:pPr>
              <w:spacing w:after="0" w:line="240" w:lineRule="auto"/>
              <w:textAlignment w:val="baseline"/>
              <w:rPr>
                <w:rFonts w:ascii="Times New Roman" w:eastAsia="Times New Roman" w:hAnsi="Times New Roman" w:cs="Times New Roman"/>
                <w:sz w:val="24"/>
                <w:szCs w:val="24"/>
              </w:rPr>
            </w:pP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center"/>
          </w:tcPr>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BF5695" w:rsidRPr="007B07C1" w:rsidRDefault="00BF5695" w:rsidP="00E85BDC">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3" w:type="dxa"/>
            <w:vAlign w:val="center"/>
          </w:tcPr>
          <w:p w:rsidR="00BF5695" w:rsidRPr="007B07C1" w:rsidRDefault="00BF5695" w:rsidP="00E85BDC">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A662F6" w:rsidRDefault="00A662F6" w:rsidP="00CA696C">
      <w:pPr>
        <w:spacing w:after="0" w:line="240" w:lineRule="auto"/>
      </w:pPr>
    </w:p>
    <w:sectPr w:rsidR="00A662F6"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91B76F0"/>
    <w:multiLevelType w:val="hybridMultilevel"/>
    <w:tmpl w:val="0CDE263A"/>
    <w:lvl w:ilvl="0" w:tplc="D8B416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7">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2"/>
  </w:num>
  <w:num w:numId="6">
    <w:abstractNumId w:val="11"/>
  </w:num>
  <w:num w:numId="7">
    <w:abstractNumId w:val="6"/>
  </w:num>
  <w:num w:numId="8">
    <w:abstractNumId w:val="9"/>
  </w:num>
  <w:num w:numId="9">
    <w:abstractNumId w:val="3"/>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7FAD"/>
    <w:rsid w:val="000962D6"/>
    <w:rsid w:val="00097774"/>
    <w:rsid w:val="000A14A2"/>
    <w:rsid w:val="000A5271"/>
    <w:rsid w:val="000A5C44"/>
    <w:rsid w:val="000B0048"/>
    <w:rsid w:val="000B037E"/>
    <w:rsid w:val="000B0CC3"/>
    <w:rsid w:val="000B25CF"/>
    <w:rsid w:val="000B39CF"/>
    <w:rsid w:val="000C390F"/>
    <w:rsid w:val="000D549F"/>
    <w:rsid w:val="000D77A3"/>
    <w:rsid w:val="000F7267"/>
    <w:rsid w:val="0010070A"/>
    <w:rsid w:val="00102E8E"/>
    <w:rsid w:val="001030C5"/>
    <w:rsid w:val="001077D0"/>
    <w:rsid w:val="001120BB"/>
    <w:rsid w:val="00115D9A"/>
    <w:rsid w:val="00125D78"/>
    <w:rsid w:val="00133522"/>
    <w:rsid w:val="00140B78"/>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1B90"/>
    <w:rsid w:val="002041C9"/>
    <w:rsid w:val="00206ACE"/>
    <w:rsid w:val="002144B6"/>
    <w:rsid w:val="00214D69"/>
    <w:rsid w:val="00216341"/>
    <w:rsid w:val="00216EDA"/>
    <w:rsid w:val="00223266"/>
    <w:rsid w:val="00230D5F"/>
    <w:rsid w:val="0023103C"/>
    <w:rsid w:val="002319C4"/>
    <w:rsid w:val="0023554F"/>
    <w:rsid w:val="00242DB3"/>
    <w:rsid w:val="00243F3D"/>
    <w:rsid w:val="00263143"/>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07229"/>
    <w:rsid w:val="003123A6"/>
    <w:rsid w:val="00317E31"/>
    <w:rsid w:val="0034096C"/>
    <w:rsid w:val="00340EBF"/>
    <w:rsid w:val="00342D11"/>
    <w:rsid w:val="0034351F"/>
    <w:rsid w:val="00345D63"/>
    <w:rsid w:val="00350DD4"/>
    <w:rsid w:val="00355196"/>
    <w:rsid w:val="00356A8B"/>
    <w:rsid w:val="00362EFF"/>
    <w:rsid w:val="00364F7D"/>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E67F8"/>
    <w:rsid w:val="003F0511"/>
    <w:rsid w:val="003F61FA"/>
    <w:rsid w:val="0040736E"/>
    <w:rsid w:val="004077A8"/>
    <w:rsid w:val="00427F36"/>
    <w:rsid w:val="0043281F"/>
    <w:rsid w:val="00433943"/>
    <w:rsid w:val="00450D4C"/>
    <w:rsid w:val="00470697"/>
    <w:rsid w:val="004747AF"/>
    <w:rsid w:val="00475172"/>
    <w:rsid w:val="0047583E"/>
    <w:rsid w:val="0047662E"/>
    <w:rsid w:val="00493030"/>
    <w:rsid w:val="00493772"/>
    <w:rsid w:val="00495082"/>
    <w:rsid w:val="004A11FB"/>
    <w:rsid w:val="004B2622"/>
    <w:rsid w:val="004B592B"/>
    <w:rsid w:val="004C23E4"/>
    <w:rsid w:val="004C6BB4"/>
    <w:rsid w:val="004D0A2B"/>
    <w:rsid w:val="004D3AFA"/>
    <w:rsid w:val="004D4A38"/>
    <w:rsid w:val="004D792C"/>
    <w:rsid w:val="004D7B2F"/>
    <w:rsid w:val="004E343D"/>
    <w:rsid w:val="004E7EB3"/>
    <w:rsid w:val="004F20B8"/>
    <w:rsid w:val="004F558F"/>
    <w:rsid w:val="0050188F"/>
    <w:rsid w:val="00505A32"/>
    <w:rsid w:val="00520219"/>
    <w:rsid w:val="0053250E"/>
    <w:rsid w:val="00542982"/>
    <w:rsid w:val="005438A7"/>
    <w:rsid w:val="00546579"/>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4408B"/>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27323"/>
    <w:rsid w:val="00731220"/>
    <w:rsid w:val="007332BA"/>
    <w:rsid w:val="007335FC"/>
    <w:rsid w:val="0073519B"/>
    <w:rsid w:val="00735513"/>
    <w:rsid w:val="00750210"/>
    <w:rsid w:val="00757B1B"/>
    <w:rsid w:val="00773A0D"/>
    <w:rsid w:val="007748A7"/>
    <w:rsid w:val="00776A19"/>
    <w:rsid w:val="00777348"/>
    <w:rsid w:val="00780F9D"/>
    <w:rsid w:val="00781BF9"/>
    <w:rsid w:val="00782F8E"/>
    <w:rsid w:val="00794037"/>
    <w:rsid w:val="0079633E"/>
    <w:rsid w:val="00797FD4"/>
    <w:rsid w:val="007A2E4E"/>
    <w:rsid w:val="007A3A6B"/>
    <w:rsid w:val="007B1034"/>
    <w:rsid w:val="007B70EF"/>
    <w:rsid w:val="007C3AB6"/>
    <w:rsid w:val="007D369E"/>
    <w:rsid w:val="007D5B5C"/>
    <w:rsid w:val="007D756D"/>
    <w:rsid w:val="007E06E2"/>
    <w:rsid w:val="007E4A4B"/>
    <w:rsid w:val="007F0AAD"/>
    <w:rsid w:val="007F1488"/>
    <w:rsid w:val="00801F19"/>
    <w:rsid w:val="00802BAD"/>
    <w:rsid w:val="00803B9C"/>
    <w:rsid w:val="008118C8"/>
    <w:rsid w:val="00816513"/>
    <w:rsid w:val="008176DB"/>
    <w:rsid w:val="00821C8C"/>
    <w:rsid w:val="00824B67"/>
    <w:rsid w:val="00830092"/>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387"/>
    <w:rsid w:val="008C1B10"/>
    <w:rsid w:val="008C33AA"/>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16173"/>
    <w:rsid w:val="00A22708"/>
    <w:rsid w:val="00A25A6E"/>
    <w:rsid w:val="00A2777B"/>
    <w:rsid w:val="00A443DD"/>
    <w:rsid w:val="00A45C48"/>
    <w:rsid w:val="00A47A80"/>
    <w:rsid w:val="00A47D04"/>
    <w:rsid w:val="00A50291"/>
    <w:rsid w:val="00A662F6"/>
    <w:rsid w:val="00A7366E"/>
    <w:rsid w:val="00A74CA1"/>
    <w:rsid w:val="00A76A03"/>
    <w:rsid w:val="00A8056F"/>
    <w:rsid w:val="00A81882"/>
    <w:rsid w:val="00A8743F"/>
    <w:rsid w:val="00A90D94"/>
    <w:rsid w:val="00A94631"/>
    <w:rsid w:val="00A9625D"/>
    <w:rsid w:val="00AA5D94"/>
    <w:rsid w:val="00AA68E4"/>
    <w:rsid w:val="00AC1D32"/>
    <w:rsid w:val="00AC25AE"/>
    <w:rsid w:val="00AC2CDB"/>
    <w:rsid w:val="00AC3825"/>
    <w:rsid w:val="00AC718A"/>
    <w:rsid w:val="00AE49D6"/>
    <w:rsid w:val="00AE504F"/>
    <w:rsid w:val="00AE5A8C"/>
    <w:rsid w:val="00AE6D30"/>
    <w:rsid w:val="00AF1968"/>
    <w:rsid w:val="00AF49D4"/>
    <w:rsid w:val="00B02AB5"/>
    <w:rsid w:val="00B036D4"/>
    <w:rsid w:val="00B05F8A"/>
    <w:rsid w:val="00B077B9"/>
    <w:rsid w:val="00B11DD5"/>
    <w:rsid w:val="00B153B4"/>
    <w:rsid w:val="00B237AD"/>
    <w:rsid w:val="00B2514D"/>
    <w:rsid w:val="00B3120C"/>
    <w:rsid w:val="00B33E5D"/>
    <w:rsid w:val="00B37BC4"/>
    <w:rsid w:val="00B457A3"/>
    <w:rsid w:val="00B46188"/>
    <w:rsid w:val="00B47BFE"/>
    <w:rsid w:val="00B47E90"/>
    <w:rsid w:val="00B56C27"/>
    <w:rsid w:val="00B60FD9"/>
    <w:rsid w:val="00B63647"/>
    <w:rsid w:val="00B6583C"/>
    <w:rsid w:val="00B71CD0"/>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BF5695"/>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67A6C"/>
    <w:rsid w:val="00C72BF4"/>
    <w:rsid w:val="00C83B17"/>
    <w:rsid w:val="00C83D8F"/>
    <w:rsid w:val="00C92979"/>
    <w:rsid w:val="00C9471E"/>
    <w:rsid w:val="00C95B97"/>
    <w:rsid w:val="00C961BE"/>
    <w:rsid w:val="00C96D1D"/>
    <w:rsid w:val="00C97E90"/>
    <w:rsid w:val="00CA13EB"/>
    <w:rsid w:val="00CA2CDD"/>
    <w:rsid w:val="00CA3A5B"/>
    <w:rsid w:val="00CA696C"/>
    <w:rsid w:val="00CA74A2"/>
    <w:rsid w:val="00CB67A4"/>
    <w:rsid w:val="00CB7FAD"/>
    <w:rsid w:val="00CD283C"/>
    <w:rsid w:val="00CD70B8"/>
    <w:rsid w:val="00CE1439"/>
    <w:rsid w:val="00CE5776"/>
    <w:rsid w:val="00CF0775"/>
    <w:rsid w:val="00CF358B"/>
    <w:rsid w:val="00CF3C95"/>
    <w:rsid w:val="00CF3ECC"/>
    <w:rsid w:val="00CF50FD"/>
    <w:rsid w:val="00D02535"/>
    <w:rsid w:val="00D0700E"/>
    <w:rsid w:val="00D11285"/>
    <w:rsid w:val="00D15FF9"/>
    <w:rsid w:val="00D33E5B"/>
    <w:rsid w:val="00D54893"/>
    <w:rsid w:val="00D54C2E"/>
    <w:rsid w:val="00D72CC0"/>
    <w:rsid w:val="00D81505"/>
    <w:rsid w:val="00D81E5E"/>
    <w:rsid w:val="00D92358"/>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0D02"/>
    <w:rsid w:val="00E55B18"/>
    <w:rsid w:val="00E57750"/>
    <w:rsid w:val="00E57F7A"/>
    <w:rsid w:val="00E6347C"/>
    <w:rsid w:val="00E6711A"/>
    <w:rsid w:val="00E74F99"/>
    <w:rsid w:val="00E7575F"/>
    <w:rsid w:val="00E761BF"/>
    <w:rsid w:val="00E83E2C"/>
    <w:rsid w:val="00E84962"/>
    <w:rsid w:val="00E85BDC"/>
    <w:rsid w:val="00E86C3E"/>
    <w:rsid w:val="00E92A45"/>
    <w:rsid w:val="00E97150"/>
    <w:rsid w:val="00E97818"/>
    <w:rsid w:val="00EA68BC"/>
    <w:rsid w:val="00EA71B3"/>
    <w:rsid w:val="00EB3FAD"/>
    <w:rsid w:val="00EC23CB"/>
    <w:rsid w:val="00EC7929"/>
    <w:rsid w:val="00ED13EF"/>
    <w:rsid w:val="00ED217A"/>
    <w:rsid w:val="00ED68BE"/>
    <w:rsid w:val="00ED7DDD"/>
    <w:rsid w:val="00F01024"/>
    <w:rsid w:val="00F0292D"/>
    <w:rsid w:val="00F07329"/>
    <w:rsid w:val="00F12404"/>
    <w:rsid w:val="00F14EE9"/>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E7EC6"/>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rvts9">
    <w:name w:val="rvts9"/>
    <w:qFormat/>
    <w:rsid w:val="00BF5695"/>
  </w:style>
  <w:style w:type="character" w:customStyle="1" w:styleId="hps">
    <w:name w:val="hps"/>
    <w:rsid w:val="00BF5695"/>
  </w:style>
  <w:style w:type="character" w:customStyle="1" w:styleId="rvts13">
    <w:name w:val="rvts13"/>
    <w:basedOn w:val="a0"/>
    <w:rsid w:val="003E67F8"/>
  </w:style>
  <w:style w:type="paragraph" w:styleId="af5">
    <w:name w:val="List Paragraph"/>
    <w:basedOn w:val="a"/>
    <w:uiPriority w:val="99"/>
    <w:qFormat/>
    <w:rsid w:val="00546579"/>
    <w:pPr>
      <w:spacing w:after="0"/>
      <w:ind w:left="720"/>
      <w:contextualSpacing/>
    </w:pPr>
    <w:rPr>
      <w:rFonts w:ascii="Liberation Serif" w:eastAsia="Times New Roman" w:hAnsi="Liberation Serif" w:cs="Mangal"/>
      <w:color w:val="00000A"/>
      <w:sz w:val="24"/>
      <w:szCs w:val="21"/>
      <w:lang w:eastAsia="zh-CN" w:bidi="hi-IN"/>
    </w:rPr>
  </w:style>
  <w:style w:type="character" w:customStyle="1" w:styleId="ng-binding">
    <w:name w:val="ng-binding"/>
    <w:basedOn w:val="a0"/>
    <w:rsid w:val="00A16173"/>
  </w:style>
  <w:style w:type="character" w:customStyle="1" w:styleId="A11">
    <w:name w:val="A11"/>
    <w:uiPriority w:val="99"/>
    <w:rsid w:val="00A16173"/>
    <w:rPr>
      <w:rFonts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 TargetMode="External"/><Relationship Id="rId5" Type="http://schemas.openxmlformats.org/officeDocument/2006/relationships/settings" Target="settings.xml"/><Relationship Id="rId10" Type="http://schemas.openxmlformats.org/officeDocument/2006/relationships/hyperlink" Target="http://zakon3.rada.gov.ua/laws/show/435-15" TargetMode="External"/><Relationship Id="rId4" Type="http://schemas.openxmlformats.org/officeDocument/2006/relationships/styles" Target="style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571D6-0EA3-4E02-8715-D4002BB2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10647</Words>
  <Characters>60694</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42</cp:revision>
  <cp:lastPrinted>2023-11-09T08:04:00Z</cp:lastPrinted>
  <dcterms:created xsi:type="dcterms:W3CDTF">2022-10-20T11:12:00Z</dcterms:created>
  <dcterms:modified xsi:type="dcterms:W3CDTF">2023-11-22T13:58:00Z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