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i/>
        </w:rPr>
      </w:pPr>
    </w:p>
    <w:p>
      <w:pPr>
        <w:rPr>
          <w:i/>
        </w:rPr>
      </w:pPr>
    </w:p>
    <w:p>
      <w:pPr>
        <w:ind w:left="142"/>
        <w:jc w:val="right"/>
        <w:outlineLvl w:val="0"/>
        <w:rPr>
          <w:b/>
        </w:rPr>
      </w:pPr>
      <w:bookmarkStart w:id="0" w:name="_Hlk109891357"/>
      <w:r>
        <w:rPr>
          <w:b/>
        </w:rPr>
        <w:t>Додаток 1</w:t>
      </w:r>
    </w:p>
    <w:p>
      <w:pPr>
        <w:ind w:left="142"/>
        <w:jc w:val="right"/>
        <w:rPr>
          <w:b/>
          <w:bCs/>
        </w:rPr>
      </w:pPr>
      <w:r>
        <w:rPr>
          <w:b/>
          <w:bCs/>
        </w:rPr>
        <w:t xml:space="preserve">до тендерної документації </w:t>
      </w:r>
    </w:p>
    <w:p>
      <w:pPr>
        <w:ind w:left="142"/>
        <w:jc w:val="right"/>
      </w:pPr>
    </w:p>
    <w:p>
      <w:pPr>
        <w:tabs>
          <w:tab w:val="left" w:pos="855"/>
        </w:tabs>
        <w:jc w:val="center"/>
      </w:pPr>
      <w:r>
        <w:t xml:space="preserve">Перелік документів, що підтверджують інформацію учасників про відповідність кваліфікаційним критеріям відповідно до ст. 16 Закону України «Про публічні закупівлі» та документи, що підтверджують відсутність підстав, визначених в ст. 17 Закону України «Про публічні закупівлі» </w:t>
      </w:r>
    </w:p>
    <w:p>
      <w:pPr>
        <w:tabs>
          <w:tab w:val="left" w:pos="855"/>
        </w:tabs>
        <w:jc w:val="center"/>
      </w:pPr>
    </w:p>
    <w:p>
      <w:pPr>
        <w:pStyle w:val="12"/>
        <w:numPr>
          <w:ilvl w:val="0"/>
          <w:numId w:val="1"/>
        </w:numPr>
        <w:spacing w:line="240" w:lineRule="auto"/>
        <w:ind w:left="-567"/>
        <w:jc w:val="center"/>
        <w:rPr>
          <w:rFonts w:ascii="Times New Roman" w:hAnsi="Times New Roman"/>
          <w:b/>
          <w:sz w:val="24"/>
          <w:szCs w:val="24"/>
        </w:rPr>
      </w:pPr>
      <w:r>
        <w:rPr>
          <w:rFonts w:ascii="Times New Roman" w:hAnsi="Times New Roman"/>
          <w:b/>
        </w:rPr>
        <w:t>Перелік документів, що підтверджують інформацію учасників про відповідність кваліфікаційним критеріям відповідно до ст. 16 Закону України «Про публічні закупівлі»</w:t>
      </w:r>
    </w:p>
    <w:tbl>
      <w:tblPr>
        <w:tblStyle w:val="3"/>
        <w:tblpPr w:leftFromText="180" w:rightFromText="180" w:vertAnchor="text" w:tblpX="-470" w:tblpY="1"/>
        <w:tblOverlap w:val="never"/>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608"/>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pStyle w:val="12"/>
              <w:spacing w:line="240" w:lineRule="auto"/>
              <w:jc w:val="both"/>
              <w:rPr>
                <w:rFonts w:ascii="Times New Roman" w:hAnsi="Times New Roman"/>
                <w:bCs/>
                <w:i/>
                <w:sz w:val="24"/>
                <w:szCs w:val="24"/>
              </w:rPr>
            </w:pPr>
            <w:r>
              <w:rPr>
                <w:rFonts w:ascii="Times New Roman" w:hAnsi="Times New Roman"/>
                <w:bCs/>
                <w:i/>
                <w:sz w:val="24"/>
                <w:szCs w:val="24"/>
              </w:rPr>
              <w:t>№ з/п</w:t>
            </w:r>
          </w:p>
        </w:tc>
        <w:tc>
          <w:tcPr>
            <w:tcW w:w="2608" w:type="dxa"/>
          </w:tcPr>
          <w:p>
            <w:pPr>
              <w:pStyle w:val="12"/>
              <w:spacing w:line="240" w:lineRule="auto"/>
              <w:jc w:val="both"/>
              <w:rPr>
                <w:rFonts w:ascii="Times New Roman" w:hAnsi="Times New Roman"/>
                <w:i/>
                <w:sz w:val="24"/>
                <w:szCs w:val="24"/>
              </w:rPr>
            </w:pPr>
            <w:r>
              <w:rPr>
                <w:rFonts w:ascii="Times New Roman" w:hAnsi="Times New Roman"/>
                <w:bCs/>
                <w:i/>
                <w:sz w:val="24"/>
                <w:szCs w:val="24"/>
              </w:rPr>
              <w:t>Кваліфікаційний критерій</w:t>
            </w:r>
          </w:p>
        </w:tc>
        <w:tc>
          <w:tcPr>
            <w:tcW w:w="6662" w:type="dxa"/>
          </w:tcPr>
          <w:p>
            <w:pPr>
              <w:pStyle w:val="12"/>
              <w:spacing w:line="240" w:lineRule="auto"/>
              <w:jc w:val="both"/>
              <w:rPr>
                <w:rFonts w:ascii="Times New Roman" w:hAnsi="Times New Roman"/>
                <w:i/>
                <w:sz w:val="24"/>
                <w:szCs w:val="24"/>
              </w:rPr>
            </w:pPr>
            <w:r>
              <w:rPr>
                <w:rFonts w:ascii="Times New Roman" w:hAnsi="Times New Roman"/>
                <w:i/>
                <w:sz w:val="24"/>
                <w:szCs w:val="24"/>
              </w:rPr>
              <w:t>Перелік документів, що підтверджують інформацію про відповідність учасників критерію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pStyle w:val="12"/>
              <w:spacing w:line="240" w:lineRule="auto"/>
              <w:rPr>
                <w:rFonts w:ascii="Times New Roman" w:hAnsi="Times New Roman"/>
                <w:bCs/>
                <w:sz w:val="24"/>
                <w:szCs w:val="24"/>
              </w:rPr>
            </w:pPr>
            <w:r>
              <w:rPr>
                <w:rFonts w:ascii="Times New Roman" w:hAnsi="Times New Roman"/>
                <w:bCs/>
                <w:sz w:val="24"/>
                <w:szCs w:val="24"/>
              </w:rPr>
              <w:t xml:space="preserve">1. </w:t>
            </w:r>
          </w:p>
        </w:tc>
        <w:tc>
          <w:tcPr>
            <w:tcW w:w="2608" w:type="dxa"/>
          </w:tcPr>
          <w:p>
            <w:pPr>
              <w:pStyle w:val="12"/>
              <w:spacing w:line="240" w:lineRule="auto"/>
              <w:rPr>
                <w:rFonts w:ascii="Times New Roman" w:hAnsi="Times New Roman"/>
                <w:bCs/>
                <w:sz w:val="24"/>
                <w:szCs w:val="24"/>
              </w:rPr>
            </w:pPr>
            <w:r>
              <w:rPr>
                <w:rFonts w:ascii="Times New Roman" w:hAnsi="Times New Roman"/>
                <w:bCs/>
                <w:sz w:val="24"/>
                <w:szCs w:val="24"/>
              </w:rPr>
              <w:t>Наявність документально підтвердженого досвіду виконання аналогічного (аналогічних) договору (договорів).</w:t>
            </w:r>
          </w:p>
        </w:tc>
        <w:tc>
          <w:tcPr>
            <w:tcW w:w="6662" w:type="dxa"/>
          </w:tcPr>
          <w:p>
            <w:pPr>
              <w:pStyle w:val="3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 підтвердження досвіду виконання аналогічного (аналогічних) договору (договорів) про закупівлю товару: бензину, дизельного палива код ДК 021:2015:</w:t>
            </w:r>
            <w:r>
              <w:rPr>
                <w:rFonts w:ascii="Times New Roman" w:hAnsi="Times New Roman" w:cs="Times New Roman"/>
                <w:bCs/>
                <w:sz w:val="24"/>
                <w:szCs w:val="24"/>
                <w:lang w:val="uk-UA"/>
              </w:rPr>
              <w:t xml:space="preserve">09130000-9  </w:t>
            </w:r>
            <w:r>
              <w:rPr>
                <w:rFonts w:ascii="Times New Roman" w:hAnsi="Times New Roman" w:cs="Times New Roman"/>
                <w:sz w:val="24"/>
                <w:szCs w:val="24"/>
                <w:lang w:val="uk-UA"/>
              </w:rPr>
              <w:t>«</w:t>
            </w:r>
            <w:r>
              <w:rPr>
                <w:rFonts w:ascii="Times New Roman" w:hAnsi="Times New Roman" w:cs="Times New Roman"/>
                <w:bCs/>
                <w:sz w:val="24"/>
                <w:szCs w:val="24"/>
                <w:lang w:val="uk-UA" w:eastAsia="uk-UA"/>
              </w:rPr>
              <w:t>Нафта і дистиляти</w:t>
            </w:r>
            <w:r>
              <w:rPr>
                <w:rFonts w:ascii="Times New Roman" w:hAnsi="Times New Roman" w:cs="Times New Roman"/>
                <w:sz w:val="24"/>
                <w:szCs w:val="24"/>
                <w:lang w:val="uk-UA"/>
              </w:rPr>
              <w:t xml:space="preserve">» учасник завантажує в електронній системі закупівель у складі тендерної пропозиції скановані документи, що підтверджують повне фактичне виконання такого договору, а саме: </w:t>
            </w:r>
          </w:p>
          <w:p>
            <w:pPr>
              <w:pStyle w:val="3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лист - відгук від контрагента про належне виконання такого договору, </w:t>
            </w:r>
          </w:p>
          <w:p>
            <w:pPr>
              <w:pStyle w:val="3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договір про закупівлю разом із додатками до нього, </w:t>
            </w:r>
          </w:p>
          <w:p>
            <w:pPr>
              <w:pStyle w:val="30"/>
              <w:widowControl w:val="0"/>
              <w:spacing w:line="240" w:lineRule="auto"/>
              <w:ind w:right="70"/>
              <w:jc w:val="both"/>
              <w:rPr>
                <w:color w:val="00000A"/>
              </w:rPr>
            </w:pPr>
            <w:r>
              <w:rPr>
                <w:rFonts w:ascii="Times New Roman" w:hAnsi="Times New Roman" w:cs="Times New Roman"/>
                <w:sz w:val="24"/>
                <w:szCs w:val="24"/>
                <w:lang w:val="uk-UA"/>
              </w:rPr>
              <w:t xml:space="preserve">- акт(и) приймання-передачі та/або накладні (накладна) за якими поставлено товар та/або акт(и) звірки взаєморозрахунків за договором (документи мають бути підписані представниками сторін по договору).                     </w:t>
            </w:r>
          </w:p>
          <w:p>
            <w:pPr>
              <w:jc w:val="both"/>
            </w:pPr>
            <w:r>
              <w:t xml:space="preserve">Примітка. </w:t>
            </w:r>
          </w:p>
          <w:p>
            <w:pPr>
              <w:jc w:val="both"/>
            </w:pPr>
            <w:r>
              <w:t xml:space="preserve">*   Під аналогічним договором мається на увазі договір, за яким учасник постачав  бензин </w:t>
            </w:r>
            <w:r>
              <w:rPr>
                <w:color w:val="auto"/>
              </w:rPr>
              <w:t>А-95</w:t>
            </w:r>
            <w:r>
              <w:t>, дизельне паливо код ДК 021:2015:</w:t>
            </w:r>
            <w:r>
              <w:rPr>
                <w:bCs/>
              </w:rPr>
              <w:t xml:space="preserve">09130000-9  </w:t>
            </w:r>
            <w:r>
              <w:t>«</w:t>
            </w:r>
            <w:r>
              <w:rPr>
                <w:bCs/>
                <w:lang w:eastAsia="uk-UA"/>
              </w:rPr>
              <w:t>Нафта і дистиляти</w:t>
            </w:r>
            <w:r>
              <w:t>».</w:t>
            </w:r>
          </w:p>
          <w:p>
            <w:pPr>
              <w:jc w:val="both"/>
              <w:rPr>
                <w:i/>
              </w:rPr>
            </w:pPr>
          </w:p>
        </w:tc>
      </w:tr>
    </w:tbl>
    <w:p>
      <w:pPr>
        <w:shd w:val="clear" w:color="auto" w:fill="FFFFFF"/>
        <w:jc w:val="both"/>
        <w:rPr>
          <w:i/>
          <w:iCs/>
          <w:sz w:val="20"/>
          <w:szCs w:val="20"/>
          <w:lang w:val="uk-UA"/>
        </w:rPr>
      </w:pPr>
      <w:r>
        <w:rPr>
          <w:bCs/>
          <w:i/>
          <w:iCs/>
          <w:color w:val="000000"/>
          <w:sz w:val="20"/>
          <w:szCs w:val="20"/>
          <w:lang w:val="uk-UA"/>
        </w:rPr>
        <w:t>Примітка:</w:t>
      </w:r>
      <w:r>
        <w:rPr>
          <w:i/>
          <w:color w:val="000000"/>
          <w:sz w:val="20"/>
          <w:szCs w:val="20"/>
          <w:lang w:val="uk-UA"/>
        </w:rPr>
        <w:t xml:space="preserve"> </w:t>
      </w:r>
      <w:r>
        <w:rPr>
          <w:i/>
          <w:color w:val="000000"/>
          <w:sz w:val="20"/>
          <w:szCs w:val="20"/>
        </w:rPr>
        <w:t>Учасники мають право подавати також і іншу інформацію, як</w:t>
      </w:r>
      <w:r>
        <w:rPr>
          <w:i/>
          <w:color w:val="000000"/>
          <w:sz w:val="20"/>
          <w:szCs w:val="20"/>
          <w:lang w:val="uk-UA"/>
        </w:rPr>
        <w:t>у</w:t>
      </w:r>
      <w:r>
        <w:rPr>
          <w:i/>
          <w:color w:val="000000"/>
          <w:sz w:val="20"/>
          <w:szCs w:val="20"/>
        </w:rPr>
        <w:t xml:space="preserve"> вважають за необхідне повідомити замовнику.</w:t>
      </w:r>
      <w:r>
        <w:rPr>
          <w:i/>
          <w:iCs/>
          <w:sz w:val="20"/>
          <w:szCs w:val="20"/>
          <w:lang w:val="uk-UA"/>
        </w:rPr>
        <w:t xml:space="preserve"> </w:t>
      </w:r>
    </w:p>
    <w:p>
      <w:pPr>
        <w:shd w:val="clear" w:color="auto" w:fill="FFFFFF"/>
        <w:jc w:val="both"/>
        <w:rPr>
          <w:i/>
          <w:iCs/>
          <w:sz w:val="22"/>
          <w:szCs w:val="22"/>
          <w:lang w:val="uk-UA"/>
        </w:rPr>
      </w:pPr>
      <w:r>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i/>
          <w:iCs/>
          <w:sz w:val="22"/>
          <w:szCs w:val="22"/>
          <w:lang w:val="uk-UA"/>
        </w:rPr>
        <w:t>.</w:t>
      </w:r>
    </w:p>
    <w:p>
      <w:pPr>
        <w:ind w:right="-426"/>
        <w:jc w:val="both"/>
      </w:pPr>
    </w:p>
    <w:bookmarkEnd w:id="0"/>
    <w:p>
      <w:pPr>
        <w:rPr>
          <w:b/>
          <w:lang w:val="uk-UA"/>
        </w:rPr>
      </w:pPr>
      <w:r>
        <w:rPr>
          <w:b/>
          <w:lang w:val="uk-UA"/>
        </w:rPr>
        <w:t xml:space="preserve"> </w:t>
      </w:r>
      <w:r>
        <w:rPr>
          <w:b/>
        </w:rPr>
        <w:t>2. Вимоги до учасників та переможця щодо підтвердження відсутності підстав для відмови в участі у відкритих торгах</w:t>
      </w:r>
    </w:p>
    <w:p>
      <w:pPr>
        <w:ind w:left="-426" w:right="-426"/>
        <w:jc w:val="both"/>
      </w:pPr>
      <w:r>
        <w:t xml:space="preserve"> </w:t>
      </w:r>
    </w:p>
    <w:tbl>
      <w:tblPr>
        <w:tblStyle w:val="3"/>
        <w:tblW w:w="9924" w:type="dxa"/>
        <w:tblInd w:w="-431" w:type="dxa"/>
        <w:tblLayout w:type="autofit"/>
        <w:tblCellMar>
          <w:top w:w="15" w:type="dxa"/>
          <w:left w:w="15" w:type="dxa"/>
          <w:bottom w:w="15" w:type="dxa"/>
          <w:right w:w="15" w:type="dxa"/>
        </w:tblCellMar>
      </w:tblPr>
      <w:tblGrid>
        <w:gridCol w:w="563"/>
        <w:gridCol w:w="3548"/>
        <w:gridCol w:w="2411"/>
        <w:gridCol w:w="3402"/>
      </w:tblGrid>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pPr>
            <w:r>
              <w:rPr>
                <w:b/>
                <w:bCs/>
              </w:rPr>
              <w:t>№ п/п</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pPr>
            <w:r>
              <w:rPr>
                <w:b/>
                <w:bCs/>
              </w:rPr>
              <w:t>Підстави для відмови в участі у процедурі закупівлі</w:t>
            </w:r>
          </w:p>
          <w:p/>
        </w:tc>
        <w:tc>
          <w:tcPr>
            <w:tcW w:w="2411" w:type="dxa"/>
            <w:tcBorders>
              <w:top w:val="single" w:color="000000" w:sz="4" w:space="0"/>
              <w:left w:val="single" w:color="000000" w:sz="4" w:space="0"/>
              <w:bottom w:val="single" w:color="000000" w:sz="4" w:space="0"/>
              <w:right w:val="single" w:color="000000" w:sz="4" w:space="0"/>
            </w:tcBorders>
            <w:vAlign w:val="center"/>
          </w:tcPr>
          <w:p>
            <w:pPr>
              <w:jc w:val="center"/>
              <w:rPr>
                <w:b/>
                <w:bCs/>
              </w:rPr>
            </w:pPr>
            <w:r>
              <w:rPr>
                <w:b/>
                <w:bCs/>
              </w:rPr>
              <w:t>Учасник процедури закупівлі</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pPr>
            <w:r>
              <w:rPr>
                <w:b/>
                <w:bCs/>
              </w:rPr>
              <w:t>Переможець процедури закупівлі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1</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t>(підпункт 1 пункту 47 Особливостей)</w:t>
            </w:r>
          </w:p>
        </w:tc>
        <w:tc>
          <w:tcPr>
            <w:tcW w:w="2411" w:type="dxa"/>
            <w:tcBorders>
              <w:top w:val="single" w:color="000000" w:sz="4" w:space="0"/>
              <w:left w:val="single" w:color="000000" w:sz="4" w:space="0"/>
              <w:bottom w:val="single" w:color="000000" w:sz="4" w:space="0"/>
              <w:right w:val="single" w:color="000000" w:sz="4" w:space="0"/>
            </w:tcBorders>
          </w:tcPr>
          <w:p>
            <w:pPr>
              <w:jc w:val="both"/>
            </w:pPr>
            <w:r>
              <w:t>Замовник перевіряє інформацію самостійно.</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Замовник не вимагає підтвердження відповідності.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2</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t>(підпункт 2 пункту 47 Особливостей)</w:t>
            </w:r>
          </w:p>
        </w:tc>
        <w:tc>
          <w:tcPr>
            <w:tcW w:w="2411" w:type="dxa"/>
            <w:tcBorders>
              <w:top w:val="single" w:color="000000" w:sz="4" w:space="0"/>
              <w:left w:val="single" w:color="000000" w:sz="4" w:space="0"/>
              <w:bottom w:val="single" w:color="000000" w:sz="4" w:space="0"/>
              <w:right w:val="single" w:color="000000" w:sz="4" w:space="0"/>
            </w:tcBorders>
          </w:tcPr>
          <w:p>
            <w:pPr>
              <w:jc w:val="both"/>
            </w:pPr>
            <w:r>
              <w:t xml:space="preserve">Учасник процедури закупівлі підтверджує відсутність підстави шляхом самостійного декларування </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t>.</w:t>
            </w:r>
          </w:p>
          <w:p/>
        </w:tc>
      </w:tr>
      <w:tr>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3</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t>(підпункт 3 пункту 47 Особливостей)</w:t>
            </w:r>
          </w:p>
          <w:p>
            <w:pPr>
              <w:jc w:val="both"/>
            </w:pPr>
          </w:p>
        </w:tc>
        <w:tc>
          <w:tcPr>
            <w:tcW w:w="2411" w:type="dxa"/>
            <w:tcBorders>
              <w:top w:val="single" w:color="000000" w:sz="4" w:space="0"/>
              <w:left w:val="single" w:color="000000" w:sz="4" w:space="0"/>
              <w:bottom w:val="single" w:color="000000" w:sz="4" w:space="0"/>
              <w:right w:val="single" w:color="000000" w:sz="4" w:space="0"/>
            </w:tcBorders>
          </w:tcPr>
          <w:p>
            <w:pPr>
              <w:jc w:val="both"/>
            </w:pPr>
            <w:r>
              <w:t>Учасник процедури закупівлі підтверджує відсутність підстави шляхом самостійного декларування .</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4</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fldChar w:fldCharType="begin"/>
            </w:r>
            <w:r>
              <w:instrText xml:space="preserve"> HYPERLINK "https://zakon.rada.gov.ua/laws/show/2210-14" \l "n456" </w:instrText>
            </w:r>
            <w:r>
              <w:fldChar w:fldCharType="separate"/>
            </w:r>
            <w:r>
              <w:rPr>
                <w:shd w:val="clear" w:color="auto" w:fill="FFFFFF"/>
              </w:rPr>
              <w:t>пунктом 1 статті 50</w:t>
            </w:r>
            <w:r>
              <w:rPr>
                <w:shd w:val="clear" w:color="auto" w:fill="FFFFFF"/>
              </w:rPr>
              <w:fldChar w:fldCharType="end"/>
            </w:r>
            <w:r>
              <w:rPr>
                <w:shd w:val="clear" w:color="auto" w:fill="FFFFFF"/>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t>(підпункт 4 пункту 47 Особливостей)</w:t>
            </w:r>
          </w:p>
        </w:tc>
        <w:tc>
          <w:tcPr>
            <w:tcW w:w="2411" w:type="dxa"/>
            <w:tcBorders>
              <w:top w:val="single" w:color="000000" w:sz="4" w:space="0"/>
              <w:left w:val="single" w:color="000000" w:sz="4" w:space="0"/>
              <w:bottom w:val="single" w:color="000000" w:sz="4" w:space="0"/>
              <w:right w:val="single" w:color="000000" w:sz="4" w:space="0"/>
            </w:tcBorders>
          </w:tcPr>
          <w:p>
            <w:pPr>
              <w:jc w:val="both"/>
            </w:pPr>
            <w:r>
              <w:t>Замовник перевіряє інформацію самостійно.</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Замовник перевіряє інформацію самостійно.</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5</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t>(підпункт 5 пункту 47 Особливостей)</w:t>
            </w:r>
          </w:p>
          <w:p>
            <w:pPr>
              <w:jc w:val="both"/>
            </w:pPr>
          </w:p>
        </w:tc>
        <w:tc>
          <w:tcPr>
            <w:tcW w:w="2411" w:type="dxa"/>
            <w:tcBorders>
              <w:top w:val="single" w:color="000000" w:sz="4" w:space="0"/>
              <w:left w:val="single" w:color="000000" w:sz="4" w:space="0"/>
              <w:bottom w:val="single" w:color="000000" w:sz="4" w:space="0"/>
              <w:right w:val="single" w:color="000000" w:sz="4" w:space="0"/>
            </w:tcBorders>
          </w:tcPr>
          <w:p>
            <w:pPr>
              <w:jc w:val="both"/>
            </w:pPr>
            <w:r>
              <w:t>Учасник процедури закупівлі підтверджує відсутність підстави шляхом самостійного декларування .</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pPr>
              <w:jc w:val="both"/>
            </w:pPr>
            <w:r>
              <w:t>судимості не має та в розшуку не перебуває.</w:t>
            </w:r>
          </w:p>
        </w:tc>
      </w:tr>
      <w:tr>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6</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t>(підпункт 6 пункту 47 Особливостей)</w:t>
            </w:r>
          </w:p>
        </w:tc>
        <w:tc>
          <w:tcPr>
            <w:tcW w:w="2411" w:type="dxa"/>
            <w:tcBorders>
              <w:top w:val="single" w:color="000000" w:sz="4" w:space="0"/>
              <w:left w:val="single" w:color="000000" w:sz="4" w:space="0"/>
              <w:bottom w:val="single" w:color="000000" w:sz="4" w:space="0"/>
              <w:right w:val="single" w:color="000000" w:sz="4" w:space="0"/>
            </w:tcBorders>
          </w:tcPr>
          <w:p>
            <w:pPr>
              <w:jc w:val="both"/>
            </w:pPr>
            <w:r>
              <w:t>Учасник процедури закупівлі підтверджує відсутність підстави шляхом самостійного декларування .</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7</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t>(підпункт 7 пункту 47 Особливостей)</w:t>
            </w:r>
          </w:p>
        </w:tc>
        <w:tc>
          <w:tcPr>
            <w:tcW w:w="2411" w:type="dxa"/>
            <w:tcBorders>
              <w:top w:val="single" w:color="000000" w:sz="4" w:space="0"/>
              <w:left w:val="single" w:color="000000" w:sz="4" w:space="0"/>
              <w:bottom w:val="single" w:color="000000" w:sz="4" w:space="0"/>
              <w:right w:val="single" w:color="000000" w:sz="4" w:space="0"/>
            </w:tcBorders>
          </w:tcPr>
          <w:p>
            <w:pPr>
              <w:jc w:val="both"/>
            </w:pPr>
            <w:r>
              <w:t>Замовник перевіряє інформацію самостійно.</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Замовник перевіряє інформацію самостійно.</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8</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t>(підпункт 8 пункту 47 Особливостей)</w:t>
            </w:r>
          </w:p>
        </w:tc>
        <w:tc>
          <w:tcPr>
            <w:tcW w:w="2411" w:type="dxa"/>
            <w:tcBorders>
              <w:top w:val="single" w:color="000000" w:sz="4" w:space="0"/>
              <w:left w:val="single" w:color="000000" w:sz="4" w:space="0"/>
              <w:bottom w:val="single" w:color="000000" w:sz="4" w:space="0"/>
              <w:right w:val="single" w:color="000000" w:sz="4" w:space="0"/>
            </w:tcBorders>
          </w:tcPr>
          <w:p>
            <w:pPr>
              <w:jc w:val="both"/>
            </w:pPr>
            <w:r>
              <w:t>Учасник процедури закупівлі підтверджує відсутність підстави шляхом самостійного декларування .</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 xml:space="preserve">Замовник перевіряє інформацію самостійно. </w:t>
            </w:r>
          </w:p>
          <w:p>
            <w:pPr>
              <w:jc w:val="both"/>
            </w:pPr>
            <w:r>
              <w:t>Якщо на момент оприлюднення переможцем документів відповідно до абзацу 3 пункту 44 Особливостей    доступ до Єдиного реєстру підприємств, щодо яких порушено провадження у справі про банкрутство або Єдиного державного реєстру юридичних осіб, фізичних осіб-підприємців та громадських формувань є обмеженим,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або надати Витяг з </w:t>
            </w:r>
            <w:r>
              <w:t>Єдиного державного реєстру юридичних осіб, фізичних осіб - підприємців та громадських формувань, в якому наявна актуальна інформація щодо банкрутства учасника та/або стосовно учасника не відкрити ліквідаційна процедура</w:t>
            </w:r>
            <w:r>
              <w:rPr>
                <w:shd w:val="clear" w:color="auto" w:fill="FFFFFF"/>
              </w:rPr>
              <w:t>.</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9</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t>(підпункт 9 пункту 47 Особливостей)</w:t>
            </w:r>
          </w:p>
        </w:tc>
        <w:tc>
          <w:tcPr>
            <w:tcW w:w="2411" w:type="dxa"/>
            <w:tcBorders>
              <w:top w:val="single" w:color="000000" w:sz="4" w:space="0"/>
              <w:left w:val="single" w:color="000000" w:sz="4" w:space="0"/>
              <w:bottom w:val="single" w:color="000000" w:sz="4" w:space="0"/>
              <w:right w:val="single" w:color="000000" w:sz="4" w:space="0"/>
            </w:tcBorders>
          </w:tcPr>
          <w:p>
            <w:pPr>
              <w:jc w:val="both"/>
            </w:pPr>
            <w:r>
              <w:t>Учасник процедури закупівлі підтверджує відсутність підстави шляхом самостійного декларування .</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 xml:space="preserve">Замовник перевіряє інформацію самостійно. </w:t>
            </w:r>
          </w:p>
          <w:p>
            <w:pPr>
              <w:jc w:val="both"/>
            </w:pPr>
            <w:r>
              <w:t xml:space="preserve">Якщо на момент оприлюднення переможцем процедури закупівлі документів відповідно до абзацу 3 пункту 44 Особливостей    доступ до Єдиного державного реєстру юридичних осіб, фізичних осіб-підприємців та громадських формувань є обмеженим, - переможець процедури закупівлі має надати Витяг з Єдиного державного </w:t>
            </w:r>
            <w:r>
              <w:rPr>
                <w:shd w:val="clear" w:color="auto" w:fill="FFFFFF"/>
              </w:rPr>
              <w:t xml:space="preserve">реєстру юридичних осіб, фізичних осіб - підприємців та громадських формувань, </w:t>
            </w:r>
            <w:r>
              <w:t>   що містить інформацію про те, що</w:t>
            </w:r>
            <w:r>
              <w:rPr>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визначена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10</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t>(підпункт 10 пункту 47 Особливостей)</w:t>
            </w:r>
          </w:p>
        </w:tc>
        <w:tc>
          <w:tcPr>
            <w:tcW w:w="2411" w:type="dxa"/>
            <w:tcBorders>
              <w:top w:val="single" w:color="000000" w:sz="4" w:space="0"/>
              <w:left w:val="single" w:color="000000" w:sz="4" w:space="0"/>
              <w:bottom w:val="single" w:color="000000" w:sz="4" w:space="0"/>
              <w:right w:val="single" w:color="000000" w:sz="4" w:space="0"/>
            </w:tcBorders>
          </w:tcPr>
          <w:p>
            <w:pPr>
              <w:jc w:val="both"/>
            </w:pPr>
            <w:r>
              <w:t>Не вимагається</w:t>
            </w:r>
          </w:p>
          <w:p>
            <w:pPr>
              <w:jc w:val="both"/>
            </w:pP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Не вимагається, вартість закупівлі не</w:t>
            </w:r>
            <w:r>
              <w:rPr>
                <w:i/>
                <w:iCs/>
              </w:rPr>
              <w:t xml:space="preserve"> </w:t>
            </w:r>
            <w:r>
              <w:t>перевищує 20 мільйонів гривень (у тому числі за лотом).</w:t>
            </w:r>
          </w:p>
          <w:p/>
          <w:p>
            <w:pPr>
              <w:jc w:val="both"/>
            </w:pPr>
          </w:p>
        </w:tc>
      </w:tr>
      <w:tr>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11</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t>(підпункт 11 пункту 47 Особливостей)</w:t>
            </w:r>
          </w:p>
        </w:tc>
        <w:tc>
          <w:tcPr>
            <w:tcW w:w="2411" w:type="dxa"/>
            <w:tcBorders>
              <w:top w:val="single" w:color="000000" w:sz="4" w:space="0"/>
              <w:left w:val="single" w:color="000000" w:sz="4" w:space="0"/>
              <w:bottom w:val="single" w:color="000000" w:sz="4" w:space="0"/>
              <w:right w:val="single" w:color="000000" w:sz="4" w:space="0"/>
            </w:tcBorders>
          </w:tcPr>
          <w:p>
            <w:pPr>
              <w:jc w:val="both"/>
            </w:pPr>
            <w:r>
              <w:t>Замовник перевіряє інформацію самостійно.</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 xml:space="preserve">Замовник перевіряє інформацію самостійно. </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12</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t>(підпункт 12 пункту 47 Особливостей)</w:t>
            </w:r>
          </w:p>
        </w:tc>
        <w:tc>
          <w:tcPr>
            <w:tcW w:w="2411" w:type="dxa"/>
            <w:tcBorders>
              <w:top w:val="single" w:color="000000" w:sz="4" w:space="0"/>
              <w:left w:val="single" w:color="000000" w:sz="4" w:space="0"/>
              <w:bottom w:val="single" w:color="000000" w:sz="4" w:space="0"/>
              <w:right w:val="single" w:color="000000" w:sz="4" w:space="0"/>
            </w:tcBorders>
          </w:tcPr>
          <w:p>
            <w:pPr>
              <w:jc w:val="both"/>
            </w:pPr>
            <w:r>
              <w:t xml:space="preserve">Учасник процедури закупівлі підтверджує відсутність підстави шляхом самостійного декларування </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pPr>
              <w:jc w:val="both"/>
            </w:pPr>
            <w:r>
              <w:t>судимості не має та в розшуку не перебуває.</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rPr>
                <w:rFonts w:hint="default"/>
                <w:lang w:val="uk-UA"/>
              </w:rPr>
            </w:pPr>
            <w:r>
              <w:t>1</w:t>
            </w:r>
            <w:r>
              <w:rPr>
                <w:rFonts w:hint="default"/>
                <w:lang w:val="uk-UA"/>
              </w:rPr>
              <w:t>3</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hd w:val="clear" w:color="auto" w:fill="FFFFFF"/>
              <w:jc w:val="both"/>
            </w:pPr>
            <w: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hd w:val="clear" w:color="auto" w:fill="FFFFFF"/>
              <w:spacing w:after="150"/>
              <w:jc w:val="both"/>
            </w:pPr>
            <w: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47 Особливостей)</w:t>
            </w:r>
          </w:p>
        </w:tc>
        <w:tc>
          <w:tcPr>
            <w:tcW w:w="2411" w:type="dxa"/>
            <w:tcBorders>
              <w:top w:val="single" w:color="000000" w:sz="4" w:space="0"/>
              <w:left w:val="single" w:color="000000" w:sz="4" w:space="0"/>
              <w:bottom w:val="single" w:color="000000" w:sz="4" w:space="0"/>
              <w:right w:val="single" w:color="000000" w:sz="4" w:space="0"/>
            </w:tcBorders>
          </w:tcPr>
          <w:p>
            <w:pPr>
              <w:jc w:val="both"/>
              <w:rPr>
                <w:color w:val="000000"/>
              </w:rPr>
            </w:pPr>
            <w:r>
              <w:t xml:space="preserve">Учасник процедури закупівлі підтверджує відсутність підстави шляхом самостійного декларування. Якщо під час подання тендерної пропозиції в учасника буде відсутня технічна можливість самостійно декларувати, - учасник має надати довідку в довільній формі </w:t>
            </w:r>
            <w:r>
              <w:rPr>
                <w:color w:val="000000"/>
              </w:rPr>
              <w:t>про те, що він не має негативного досвіду співпраці із замовником, що призвело до дострокового розірвання договору і до нього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15"/>
              <w:spacing w:after="160" w:line="259" w:lineRule="auto"/>
              <w:ind w:left="410"/>
              <w:jc w:val="both"/>
            </w:pP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
            <w:pPr>
              <w:jc w:val="both"/>
            </w:pPr>
            <w:r>
              <w:t>або</w:t>
            </w:r>
          </w:p>
          <w:p/>
          <w:p>
            <w:pPr>
              <w:jc w:val="both"/>
            </w:pPr>
            <w: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шляхом подання відповідних документів на підтвердження вжиття заходів щодо сплати заборгованості та/або відшкодування збитків.</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jc w:val="both"/>
              <w:rPr>
                <w:rFonts w:ascii="Times New Roman" w:hAnsi="Times New Roman" w:eastAsia="Times New Roman" w:cs="Times New Roman"/>
                <w:sz w:val="24"/>
                <w:szCs w:val="24"/>
                <w:lang w:val="uk-UA" w:eastAsia="ru-RU" w:bidi="ar-SA"/>
              </w:rPr>
            </w:pPr>
            <w:r>
              <w:rPr>
                <w:lang w:val="uk-UA"/>
              </w:rPr>
              <w:t>14</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jc w:val="both"/>
              <w:rPr>
                <w:rFonts w:ascii="Times New Roman" w:hAnsi="Times New Roman" w:eastAsia="Times New Roman" w:cs="Times New Roman"/>
                <w:sz w:val="24"/>
                <w:szCs w:val="24"/>
                <w:lang w:val="uk-UA" w:eastAsia="ru-RU" w:bidi="ar-SA"/>
              </w:rPr>
            </w:pPr>
          </w:p>
        </w:tc>
        <w:tc>
          <w:tcPr>
            <w:tcW w:w="2411" w:type="dxa"/>
            <w:tcBorders>
              <w:top w:val="single" w:color="000000" w:sz="4" w:space="0"/>
              <w:left w:val="single" w:color="000000" w:sz="4" w:space="0"/>
              <w:bottom w:val="single" w:color="000000" w:sz="4" w:space="0"/>
              <w:right w:val="single" w:color="000000" w:sz="4" w:space="0"/>
            </w:tcBorders>
            <w:vAlign w:val="top"/>
          </w:tcPr>
          <w:p>
            <w:pPr>
              <w:jc w:val="both"/>
              <w:rPr>
                <w:rFonts w:ascii="Times New Roman" w:hAnsi="Times New Roman" w:eastAsia="Times New Roman" w:cs="Times New Roman"/>
                <w:sz w:val="24"/>
                <w:szCs w:val="24"/>
                <w:lang w:val="uk-UA" w:eastAsia="ru-RU" w:bidi="ar-SA"/>
              </w:rPr>
            </w:pP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jc w:val="both"/>
              <w:rPr>
                <w:rFonts w:ascii="Times New Roman" w:hAnsi="Times New Roman" w:eastAsia="Times New Roman" w:cs="Times New Roman"/>
                <w:b/>
                <w:i/>
                <w:sz w:val="24"/>
                <w:szCs w:val="24"/>
                <w:lang w:val="uk-UA" w:eastAsia="ru-RU" w:bidi="ar-SA"/>
              </w:rPr>
            </w:pPr>
            <w:r>
              <w:rPr>
                <w:b/>
                <w:i/>
              </w:rPr>
              <w:t>Переможець процедури закупівлі має надати оновлену Форму «Тендерна (цінова) пропозиція» після проведення аукціону</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jc w:val="both"/>
              <w:rPr>
                <w:lang w:val="uk-UA"/>
              </w:rPr>
            </w:pP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jc w:val="both"/>
              <w:rPr>
                <w:rFonts w:ascii="Times New Roman" w:hAnsi="Times New Roman" w:eastAsia="Times New Roman" w:cs="Times New Roman"/>
                <w:sz w:val="24"/>
                <w:szCs w:val="24"/>
                <w:lang w:val="uk-UA" w:eastAsia="ru-RU" w:bidi="ar-SA"/>
              </w:rPr>
            </w:pPr>
          </w:p>
        </w:tc>
        <w:tc>
          <w:tcPr>
            <w:tcW w:w="2411" w:type="dxa"/>
            <w:tcBorders>
              <w:top w:val="single" w:color="000000" w:sz="4" w:space="0"/>
              <w:left w:val="single" w:color="000000" w:sz="4" w:space="0"/>
              <w:bottom w:val="single" w:color="000000" w:sz="4" w:space="0"/>
              <w:right w:val="single" w:color="000000" w:sz="4" w:space="0"/>
            </w:tcBorders>
            <w:vAlign w:val="top"/>
          </w:tcPr>
          <w:p>
            <w:pPr>
              <w:jc w:val="both"/>
              <w:rPr>
                <w:rFonts w:ascii="Times New Roman" w:hAnsi="Times New Roman" w:eastAsia="Times New Roman" w:cs="Times New Roman"/>
                <w:sz w:val="24"/>
                <w:szCs w:val="24"/>
                <w:lang w:val="uk-UA" w:eastAsia="ru-RU" w:bidi="ar-SA"/>
              </w:rPr>
            </w:pP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jc w:val="both"/>
              <w:rPr>
                <w:b/>
                <w:i/>
              </w:rPr>
            </w:pPr>
          </w:p>
        </w:tc>
      </w:tr>
    </w:tbl>
    <w:p>
      <w:pPr>
        <w:jc w:val="center"/>
        <w:rPr>
          <w:b/>
          <w:u w:val="single"/>
          <w:lang w:val="uk-UA"/>
        </w:rPr>
      </w:pPr>
    </w:p>
    <w:p>
      <w:pPr>
        <w:pStyle w:val="38"/>
        <w:spacing w:after="160"/>
        <w:ind w:left="0"/>
        <w:jc w:val="both"/>
        <w:rPr>
          <w:rFonts w:ascii="Times New Roman" w:hAnsi="Times New Roman"/>
          <w:b w:val="0"/>
          <w:snapToGrid/>
          <w:sz w:val="24"/>
          <w:szCs w:val="24"/>
        </w:rPr>
      </w:pPr>
      <w:r>
        <w:rPr>
          <w:rFonts w:ascii="Times New Roman" w:hAnsi="Times New Roman"/>
          <w:sz w:val="24"/>
          <w:szCs w:val="24"/>
        </w:rPr>
        <w:t xml:space="preserve">             </w:t>
      </w:r>
      <w:r>
        <w:rPr>
          <w:rFonts w:ascii="Times New Roman" w:hAnsi="Times New Roman"/>
          <w:b w:val="0"/>
          <w:snapToGrid/>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r>
        <w:rPr>
          <w:rFonts w:ascii="Times New Roman" w:hAnsi="Times New Roman"/>
          <w:b w:val="0"/>
          <w:snapToGrid/>
          <w:color w:val="000000"/>
          <w:sz w:val="24"/>
          <w:szCs w:val="24"/>
          <w:lang w:val="ru-RU"/>
        </w:rPr>
        <w:t> </w:t>
      </w:r>
    </w:p>
    <w:p>
      <w:pPr>
        <w:ind w:firstLine="709"/>
        <w:jc w:val="both"/>
        <w:rPr>
          <w:lang w:val="uk-UA"/>
        </w:rPr>
      </w:pPr>
      <w:r>
        <w:rPr>
          <w:color w:val="000000"/>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pPr>
        <w:jc w:val="both"/>
        <w:rPr>
          <w:lang w:val="uk-UA"/>
        </w:rPr>
      </w:pPr>
      <w:r>
        <w:rPr>
          <w:color w:val="00000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jc w:val="both"/>
        <w:rPr>
          <w:lang w:val="uk-UA"/>
        </w:rPr>
      </w:pPr>
    </w:p>
    <w:p>
      <w:pPr>
        <w:jc w:val="both"/>
        <w:rPr>
          <w:bCs/>
          <w:i/>
          <w:iCs/>
          <w:lang w:val="uk-UA"/>
        </w:rPr>
      </w:pPr>
      <w:r>
        <w:rPr>
          <w:i/>
          <w:iCs/>
          <w:lang w:val="uk-UA"/>
        </w:rPr>
        <w:t xml:space="preserve"> </w:t>
      </w:r>
      <w:r>
        <w:rPr>
          <w:i/>
          <w:iCs/>
          <w:lang w:val="uk-UA"/>
        </w:rPr>
        <w:tab/>
      </w:r>
      <w:r>
        <w:rPr>
          <w:i/>
          <w:iCs/>
          <w:lang w:val="uk-UA"/>
        </w:rPr>
        <w:t xml:space="preserve">Примітки: </w:t>
      </w:r>
      <w:r>
        <w:rPr>
          <w:bCs/>
          <w:i/>
          <w:iCs/>
          <w:lang w:val="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pPr>
        <w:ind w:firstLine="567"/>
        <w:jc w:val="both"/>
        <w:rPr>
          <w:b/>
          <w:color w:val="000000"/>
          <w:lang w:val="uk-UA"/>
        </w:rPr>
      </w:pPr>
    </w:p>
    <w:p>
      <w:pPr>
        <w:ind w:firstLine="567"/>
        <w:jc w:val="both"/>
        <w:rPr>
          <w:b/>
          <w:color w:val="000000"/>
        </w:rPr>
      </w:pPr>
      <w:bookmarkStart w:id="1" w:name="_Hlk33363684"/>
      <w:bookmarkEnd w:id="1"/>
    </w:p>
    <w:p>
      <w:pPr>
        <w:ind w:firstLine="567"/>
        <w:jc w:val="both"/>
        <w:rPr>
          <w:b/>
          <w:color w:val="000000"/>
        </w:rPr>
      </w:pPr>
    </w:p>
    <w:p>
      <w:pPr>
        <w:ind w:firstLine="567"/>
        <w:jc w:val="both"/>
        <w:rPr>
          <w:b/>
          <w:color w:val="000000"/>
        </w:rPr>
      </w:pPr>
    </w:p>
    <w:p>
      <w:pPr>
        <w:ind w:firstLine="567"/>
        <w:jc w:val="both"/>
        <w:rPr>
          <w:b/>
          <w:color w:val="000000"/>
        </w:rPr>
      </w:pPr>
    </w:p>
    <w:p>
      <w:pPr>
        <w:ind w:firstLine="567"/>
        <w:jc w:val="both"/>
        <w:rPr>
          <w:b/>
          <w:color w:val="000000"/>
        </w:rPr>
      </w:pPr>
    </w:p>
    <w:p>
      <w:pPr>
        <w:ind w:firstLine="567"/>
        <w:jc w:val="both"/>
        <w:rPr>
          <w:b/>
          <w:color w:val="000000"/>
        </w:rPr>
      </w:pPr>
    </w:p>
    <w:p>
      <w:pPr>
        <w:ind w:firstLine="567"/>
        <w:jc w:val="both"/>
        <w:rPr>
          <w:b/>
          <w:color w:val="000000"/>
        </w:rPr>
      </w:pPr>
    </w:p>
    <w:p>
      <w:pPr>
        <w:ind w:firstLine="567"/>
        <w:jc w:val="both"/>
        <w:rPr>
          <w:b/>
          <w:color w:val="000000"/>
        </w:rPr>
      </w:pPr>
    </w:p>
    <w:p>
      <w:pPr>
        <w:ind w:firstLine="567"/>
        <w:jc w:val="both"/>
        <w:rPr>
          <w:b/>
          <w:color w:val="000000"/>
        </w:rPr>
      </w:pPr>
    </w:p>
    <w:p>
      <w:pPr>
        <w:ind w:firstLine="567"/>
        <w:jc w:val="both"/>
        <w:rPr>
          <w:b/>
          <w:color w:val="000000"/>
        </w:rPr>
      </w:pPr>
    </w:p>
    <w:p>
      <w:pPr>
        <w:ind w:firstLine="567"/>
        <w:jc w:val="both"/>
        <w:rPr>
          <w:b/>
          <w:color w:val="000000"/>
        </w:rPr>
      </w:pPr>
      <w:bookmarkStart w:id="2" w:name="_GoBack"/>
      <w:bookmarkEnd w:id="2"/>
      <w:r>
        <w:rPr>
          <w:b/>
          <w:color w:val="000000"/>
        </w:rPr>
        <w:t xml:space="preserve">Таблиця 3. Інші документи: </w:t>
      </w:r>
    </w:p>
    <w:p>
      <w:pPr>
        <w:ind w:firstLine="567"/>
        <w:jc w:val="both"/>
        <w:rPr>
          <w:b/>
          <w:color w:val="000000"/>
        </w:rPr>
      </w:pPr>
    </w:p>
    <w:tbl>
      <w:tblPr>
        <w:tblStyle w:val="3"/>
        <w:tblW w:w="10019" w:type="dxa"/>
        <w:tblInd w:w="-176" w:type="dxa"/>
        <w:tblLayout w:type="fixed"/>
        <w:tblCellMar>
          <w:top w:w="0" w:type="dxa"/>
          <w:left w:w="108" w:type="dxa"/>
          <w:bottom w:w="0" w:type="dxa"/>
          <w:right w:w="108" w:type="dxa"/>
        </w:tblCellMar>
      </w:tblPr>
      <w:tblGrid>
        <w:gridCol w:w="541"/>
        <w:gridCol w:w="2572"/>
        <w:gridCol w:w="6906"/>
      </w:tblGrid>
      <w:tr>
        <w:tblPrEx>
          <w:tblCellMar>
            <w:top w:w="0" w:type="dxa"/>
            <w:left w:w="108" w:type="dxa"/>
            <w:bottom w:w="0" w:type="dxa"/>
            <w:right w:w="108" w:type="dxa"/>
          </w:tblCellMar>
        </w:tblPrEx>
        <w:trPr>
          <w:trHeight w:val="2501" w:hRule="atLeast"/>
        </w:trPr>
        <w:tc>
          <w:tcPr>
            <w:tcW w:w="541" w:type="dxa"/>
            <w:tcBorders>
              <w:top w:val="single" w:color="auto" w:sz="6" w:space="0"/>
              <w:left w:val="single" w:color="auto" w:sz="6" w:space="0"/>
              <w:bottom w:val="single" w:color="auto" w:sz="6" w:space="0"/>
              <w:right w:val="single" w:color="auto" w:sz="6" w:space="0"/>
            </w:tcBorders>
            <w:noWrap w:val="0"/>
            <w:vAlign w:val="center"/>
          </w:tcPr>
          <w:p>
            <w:pPr>
              <w:tabs>
                <w:tab w:val="left" w:pos="360"/>
              </w:tabs>
              <w:rPr>
                <w:b/>
                <w:color w:val="000000"/>
                <w:lang w:val="uk-UA"/>
              </w:rPr>
            </w:pPr>
            <w:r>
              <w:rPr>
                <w:b/>
                <w:color w:val="000000"/>
                <w:lang w:val="uk-UA"/>
              </w:rPr>
              <w:t>1.</w:t>
            </w:r>
          </w:p>
        </w:tc>
        <w:tc>
          <w:tcPr>
            <w:tcW w:w="2572" w:type="dxa"/>
            <w:tcBorders>
              <w:top w:val="single" w:color="auto" w:sz="6" w:space="0"/>
              <w:left w:val="single" w:color="auto" w:sz="6" w:space="0"/>
              <w:bottom w:val="single" w:color="auto" w:sz="6" w:space="0"/>
              <w:right w:val="single" w:color="auto" w:sz="6" w:space="0"/>
            </w:tcBorders>
            <w:noWrap w:val="0"/>
            <w:vAlign w:val="top"/>
          </w:tcPr>
          <w:p>
            <w:pPr>
              <w:widowControl w:val="0"/>
              <w:rPr>
                <w:b/>
                <w:color w:val="000000"/>
                <w:lang w:val="uk-UA"/>
              </w:rPr>
            </w:pPr>
          </w:p>
          <w:p>
            <w:pPr>
              <w:widowControl w:val="0"/>
              <w:rPr>
                <w:b/>
                <w:color w:val="000000"/>
                <w:lang w:eastAsia="en-US"/>
              </w:rPr>
            </w:pPr>
            <w:r>
              <w:rPr>
                <w:b/>
                <w:color w:val="000000"/>
              </w:rPr>
              <w:t xml:space="preserve">Правомочність на укладення договору про закупівлю та підписання </w:t>
            </w:r>
            <w:r>
              <w:rPr>
                <w:b/>
                <w:bCs/>
                <w:color w:val="000000"/>
              </w:rPr>
              <w:t>тендерних</w:t>
            </w:r>
            <w:r>
              <w:rPr>
                <w:b/>
                <w:color w:val="000000"/>
              </w:rPr>
              <w:t xml:space="preserve"> пропозиції</w:t>
            </w:r>
          </w:p>
        </w:tc>
        <w:tc>
          <w:tcPr>
            <w:tcW w:w="6906" w:type="dxa"/>
            <w:tcBorders>
              <w:top w:val="single" w:color="auto" w:sz="6" w:space="0"/>
              <w:left w:val="single" w:color="auto" w:sz="6" w:space="0"/>
              <w:bottom w:val="single" w:color="auto" w:sz="6" w:space="0"/>
              <w:right w:val="single" w:color="auto" w:sz="6" w:space="0"/>
            </w:tcBorders>
            <w:noWrap w:val="0"/>
            <w:vAlign w:val="top"/>
          </w:tcPr>
          <w:p>
            <w:pPr>
              <w:ind w:firstLine="284"/>
              <w:jc w:val="both"/>
              <w:rPr>
                <w:b/>
                <w:color w:val="000000"/>
                <w:lang w:eastAsia="en-US"/>
              </w:rPr>
            </w:pPr>
            <w:r>
              <w:rPr>
                <w:b/>
                <w:color w:val="000000"/>
              </w:rPr>
              <w:t>Для юридичних осіб</w:t>
            </w:r>
          </w:p>
          <w:p>
            <w:pPr>
              <w:widowControl w:val="0"/>
              <w:ind w:left="23"/>
              <w:jc w:val="both"/>
              <w:rPr>
                <w:color w:val="000000"/>
              </w:rPr>
            </w:pPr>
            <w:r>
              <w:rPr>
                <w:color w:val="000000"/>
              </w:rPr>
              <w:t xml:space="preserve">1.1. Інформаційна довідка, щодо осіб, які </w:t>
            </w:r>
            <w:r>
              <w:rPr>
                <w:color w:val="000000"/>
                <w:lang w:val="uk-UA"/>
              </w:rPr>
              <w:t xml:space="preserve">уповноважені на </w:t>
            </w:r>
            <w:r>
              <w:rPr>
                <w:color w:val="000000"/>
              </w:rPr>
              <w:t xml:space="preserve"> підпис</w:t>
            </w:r>
            <w:r>
              <w:rPr>
                <w:color w:val="000000"/>
                <w:lang w:val="uk-UA"/>
              </w:rPr>
              <w:t xml:space="preserve">ання </w:t>
            </w:r>
            <w:r>
              <w:rPr>
                <w:color w:val="000000"/>
              </w:rPr>
              <w:t xml:space="preserve"> документ</w:t>
            </w:r>
            <w:r>
              <w:rPr>
                <w:color w:val="000000"/>
                <w:lang w:val="uk-UA"/>
              </w:rPr>
              <w:t>ів</w:t>
            </w:r>
            <w:r>
              <w:rPr>
                <w:color w:val="000000"/>
              </w:rPr>
              <w:t xml:space="preserve"> тендерної пропозиції та укладати</w:t>
            </w:r>
            <w:r>
              <w:rPr>
                <w:color w:val="000000"/>
                <w:lang w:val="uk-UA"/>
              </w:rPr>
              <w:t xml:space="preserve"> </w:t>
            </w:r>
            <w:r>
              <w:rPr>
                <w:color w:val="000000"/>
              </w:rPr>
              <w:t>договори (угоди) про закупівлю (сканований оригінал).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r>
              <w:rPr>
                <w:color w:val="000000"/>
                <w:lang w:val="uk-UA"/>
              </w:rPr>
              <w:t>, якщо інше не зазначено в статуті</w:t>
            </w:r>
            <w:r>
              <w:rPr>
                <w:color w:val="000000"/>
              </w:rPr>
              <w:t xml:space="preserve">. </w:t>
            </w:r>
          </w:p>
          <w:p>
            <w:pPr>
              <w:widowControl w:val="0"/>
              <w:ind w:left="23"/>
              <w:jc w:val="both"/>
              <w:rPr>
                <w:color w:val="000000"/>
              </w:rPr>
            </w:pPr>
            <w:r>
              <w:rPr>
                <w:color w:val="000000"/>
              </w:rPr>
              <w:t xml:space="preserve">1.2. Сканований оригінал або копія документу(ів), що підтверджує повноваження особи, на підпис </w:t>
            </w:r>
            <w:r>
              <w:rPr>
                <w:bCs/>
                <w:color w:val="000000"/>
              </w:rPr>
              <w:t>тендерної</w:t>
            </w:r>
            <w:r>
              <w:rPr>
                <w:color w:val="000000"/>
              </w:rPr>
              <w:t xml:space="preserve"> пропозиції та повноваження на підписання договору про закупівлю (один із запропонованих документів, на вибір учасника):</w:t>
            </w:r>
          </w:p>
          <w:p>
            <w:pPr>
              <w:ind w:firstLine="284"/>
              <w:jc w:val="both"/>
              <w:rPr>
                <w:color w:val="000000"/>
              </w:rPr>
            </w:pPr>
            <w:r>
              <w:rPr>
                <w:color w:val="000000"/>
              </w:rPr>
              <w:t>-виписка з протоколу засновників або копія протоколу засновників;</w:t>
            </w:r>
          </w:p>
          <w:p>
            <w:pPr>
              <w:ind w:firstLine="284"/>
              <w:jc w:val="both"/>
              <w:rPr>
                <w:color w:val="000000"/>
              </w:rPr>
            </w:pPr>
            <w:r>
              <w:rPr>
                <w:color w:val="000000"/>
              </w:rPr>
              <w:t>- наказ про призначення;</w:t>
            </w:r>
          </w:p>
          <w:p>
            <w:pPr>
              <w:ind w:firstLine="284"/>
              <w:jc w:val="both"/>
              <w:rPr>
                <w:color w:val="000000"/>
              </w:rPr>
            </w:pPr>
            <w:r>
              <w:rPr>
                <w:color w:val="000000"/>
              </w:rPr>
              <w:t xml:space="preserve">- довіреність або доручення; </w:t>
            </w:r>
          </w:p>
          <w:p>
            <w:pPr>
              <w:ind w:firstLine="284"/>
              <w:jc w:val="both"/>
              <w:rPr>
                <w:color w:val="000000"/>
              </w:rPr>
            </w:pPr>
            <w:r>
              <w:rPr>
                <w:color w:val="000000"/>
              </w:rPr>
              <w:t>-</w:t>
            </w:r>
            <w:r>
              <w:rPr>
                <w:color w:val="000000"/>
                <w:lang w:val="uk-UA"/>
              </w:rPr>
              <w:t xml:space="preserve"> </w:t>
            </w:r>
            <w:r>
              <w:rPr>
                <w:color w:val="000000"/>
              </w:rPr>
              <w:t>інший документ, що підтверджує повноваження посадової особи учасника на підписання документів.</w:t>
            </w:r>
          </w:p>
          <w:p>
            <w:pPr>
              <w:jc w:val="both"/>
              <w:rPr>
                <w:color w:val="000000"/>
              </w:rPr>
            </w:pPr>
            <w:r>
              <w:rPr>
                <w:color w:val="000000"/>
              </w:rPr>
              <w:t xml:space="preserve">1.3. Сканований оригінал або копія Статуту із змінами </w:t>
            </w:r>
            <w:r>
              <w:rPr>
                <w:i/>
                <w:iCs/>
                <w:color w:val="000000"/>
              </w:rPr>
              <w:t>(в разі їх наявності)</w:t>
            </w:r>
            <w:r>
              <w:rPr>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color w:val="000000"/>
                <w:sz w:val="28"/>
                <w:szCs w:val="22"/>
                <w:lang w:eastAsia="en-US"/>
              </w:rPr>
              <w:t xml:space="preserve"> Я</w:t>
            </w:r>
            <w:r>
              <w:rPr>
                <w:color w:val="000000"/>
              </w:rPr>
              <w:t>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pPr>
              <w:ind w:firstLine="284"/>
              <w:jc w:val="both"/>
              <w:rPr>
                <w:b/>
                <w:bCs/>
                <w:color w:val="000000"/>
                <w:u w:val="single"/>
                <w:lang w:val="uk-UA"/>
              </w:rPr>
            </w:pPr>
          </w:p>
          <w:p>
            <w:pPr>
              <w:ind w:firstLine="284"/>
              <w:jc w:val="both"/>
              <w:rPr>
                <w:color w:val="000000"/>
                <w:lang w:val="uk-UA"/>
              </w:rPr>
            </w:pPr>
            <w:r>
              <w:rPr>
                <w:b/>
                <w:bCs/>
                <w:color w:val="000000"/>
                <w:u w:val="single"/>
                <w:lang w:val="uk-UA"/>
              </w:rPr>
              <w:t>Для фізичних осіб-підприємців</w:t>
            </w:r>
            <w:r>
              <w:rPr>
                <w:b/>
                <w:color w:val="000000"/>
                <w:u w:val="single"/>
                <w:lang w:val="uk-UA"/>
              </w:rPr>
              <w:t xml:space="preserve"> та фізичних осіб</w:t>
            </w:r>
            <w:r>
              <w:rPr>
                <w:b/>
                <w:bCs/>
                <w:color w:val="000000"/>
                <w:u w:val="single"/>
                <w:lang w:val="uk-UA"/>
              </w:rPr>
              <w:t>:</w:t>
            </w:r>
          </w:p>
          <w:p>
            <w:pPr>
              <w:widowControl w:val="0"/>
              <w:ind w:left="23"/>
              <w:jc w:val="both"/>
              <w:rPr>
                <w:color w:val="000000"/>
              </w:rPr>
            </w:pPr>
            <w:r>
              <w:rPr>
                <w:color w:val="000000"/>
              </w:rPr>
              <w:t xml:space="preserve">1.4. </w:t>
            </w:r>
            <w:r>
              <w:rPr>
                <w:color w:val="000000"/>
                <w:lang w:val="uk-UA"/>
              </w:rPr>
              <w:t>Сканкопію п</w:t>
            </w:r>
            <w:r>
              <w:rPr>
                <w:color w:val="000000"/>
              </w:rPr>
              <w:t>аспорт</w:t>
            </w:r>
            <w:r>
              <w:rPr>
                <w:color w:val="000000"/>
                <w:lang w:val="uk-UA"/>
              </w:rPr>
              <w:t>а</w:t>
            </w:r>
            <w:r>
              <w:rPr>
                <w:color w:val="000000"/>
              </w:rPr>
              <w:t xml:space="preserve"> (всі заповнені сторінки), у випадку, якщо такий паспорт оформлено у вигляді книжечки/або двостороння копія паспорт</w:t>
            </w:r>
            <w:r>
              <w:rPr>
                <w:color w:val="000000"/>
                <w:lang w:val="uk-UA"/>
              </w:rPr>
              <w:t>а</w:t>
            </w:r>
            <w:r>
              <w:rPr>
                <w:color w:val="000000"/>
              </w:rPr>
              <w:t xml:space="preserve"> громадянина України у випадку, якщо такий паспорт оформлено у формі картки, що містить безконтактний електронний носій,  або </w:t>
            </w:r>
            <w:r>
              <w:rPr>
                <w:color w:val="000000"/>
                <w:lang w:val="uk-UA"/>
              </w:rPr>
              <w:t>скан</w:t>
            </w:r>
            <w:r>
              <w:rPr>
                <w:color w:val="000000"/>
              </w:rPr>
              <w:t>копія іншого документ</w:t>
            </w:r>
            <w:r>
              <w:rPr>
                <w:color w:val="000000"/>
                <w:lang w:val="uk-UA"/>
              </w:rPr>
              <w:t>а</w:t>
            </w:r>
            <w:r>
              <w:rPr>
                <w:color w:val="000000"/>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color w:val="000000"/>
              </w:rPr>
              <w:softHyphen/>
            </w:r>
            <w:r>
              <w:rPr>
                <w:color w:val="000000"/>
              </w:rPr>
              <w:t>VI, зі змінами (</w:t>
            </w:r>
            <w:r>
              <w:rPr>
                <w:i/>
                <w:color w:val="000000"/>
              </w:rPr>
              <w:t>подається на особу/осіб уповноважених на підписання документів тендерної пропозиції та договору про закупівлю)</w:t>
            </w:r>
            <w:r>
              <w:rPr>
                <w:bCs/>
                <w:i/>
                <w:color w:val="000000"/>
              </w:rPr>
              <w:t xml:space="preserve"> (для фізичних осіб-підприємців</w:t>
            </w:r>
            <w:r>
              <w:rPr>
                <w:i/>
                <w:color w:val="000000"/>
              </w:rPr>
              <w:t xml:space="preserve"> та фізичних осіб)</w:t>
            </w:r>
            <w:r>
              <w:rPr>
                <w:color w:val="000000"/>
              </w:rPr>
              <w:t>.</w:t>
            </w:r>
          </w:p>
          <w:p>
            <w:pPr>
              <w:widowControl w:val="0"/>
              <w:jc w:val="both"/>
              <w:rPr>
                <w:i/>
                <w:color w:val="000000"/>
                <w:lang w:val="uk-UA"/>
              </w:rPr>
            </w:pPr>
            <w:r>
              <w:rPr>
                <w:color w:val="000000"/>
              </w:rPr>
              <w:t>1.5.</w:t>
            </w:r>
            <w:r>
              <w:rPr>
                <w:color w:val="000000"/>
                <w:lang w:val="uk-UA"/>
              </w:rPr>
              <w:t xml:space="preserve"> Сканкопія д</w:t>
            </w:r>
            <w:r>
              <w:rPr>
                <w:color w:val="000000"/>
              </w:rPr>
              <w:t>овідк</w:t>
            </w:r>
            <w:r>
              <w:rPr>
                <w:color w:val="000000"/>
                <w:lang w:val="uk-UA"/>
              </w:rPr>
              <w:t>и</w:t>
            </w:r>
            <w:r>
              <w:rPr>
                <w:color w:val="000000"/>
              </w:rPr>
              <w:t xml:space="preserve">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i/>
                <w:color w:val="000000"/>
              </w:rPr>
              <w:t>(подається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tblPrEx>
          <w:tblCellMar>
            <w:top w:w="0" w:type="dxa"/>
            <w:left w:w="108" w:type="dxa"/>
            <w:bottom w:w="0" w:type="dxa"/>
            <w:right w:w="108" w:type="dxa"/>
          </w:tblCellMar>
        </w:tblPrEx>
        <w:trPr>
          <w:trHeight w:val="4095" w:hRule="atLeast"/>
        </w:trPr>
        <w:tc>
          <w:tcPr>
            <w:tcW w:w="541" w:type="dxa"/>
            <w:tcBorders>
              <w:top w:val="single" w:color="auto" w:sz="6" w:space="0"/>
              <w:left w:val="single" w:color="auto" w:sz="6" w:space="0"/>
              <w:bottom w:val="single" w:color="auto" w:sz="6" w:space="0"/>
              <w:right w:val="single" w:color="auto" w:sz="6" w:space="0"/>
            </w:tcBorders>
            <w:noWrap w:val="0"/>
            <w:vAlign w:val="center"/>
          </w:tcPr>
          <w:p>
            <w:pPr>
              <w:jc w:val="center"/>
              <w:rPr>
                <w:b/>
                <w:color w:val="000000"/>
                <w:lang w:val="uk-UA"/>
              </w:rPr>
            </w:pPr>
            <w:r>
              <w:rPr>
                <w:b/>
                <w:color w:val="000000"/>
                <w:lang w:val="uk-UA"/>
              </w:rPr>
              <w:t>2.</w:t>
            </w:r>
          </w:p>
        </w:tc>
        <w:tc>
          <w:tcPr>
            <w:tcW w:w="2572" w:type="dxa"/>
            <w:tcBorders>
              <w:top w:val="single" w:color="auto" w:sz="6" w:space="0"/>
              <w:left w:val="single" w:color="auto" w:sz="6" w:space="0"/>
              <w:bottom w:val="single" w:color="auto" w:sz="6" w:space="0"/>
              <w:right w:val="single" w:color="auto" w:sz="6" w:space="0"/>
            </w:tcBorders>
            <w:noWrap w:val="0"/>
            <w:vAlign w:val="top"/>
          </w:tcPr>
          <w:p>
            <w:pPr>
              <w:widowControl w:val="0"/>
              <w:rPr>
                <w:b/>
                <w:color w:val="000000"/>
                <w:lang w:eastAsia="en-US"/>
              </w:rPr>
            </w:pPr>
            <w:r>
              <w:rPr>
                <w:b/>
                <w:color w:val="000000"/>
              </w:rPr>
              <w:t>Відомості про учасника</w:t>
            </w:r>
          </w:p>
        </w:tc>
        <w:tc>
          <w:tcPr>
            <w:tcW w:w="6906" w:type="dxa"/>
            <w:tcBorders>
              <w:top w:val="single" w:color="auto" w:sz="6" w:space="0"/>
              <w:left w:val="single" w:color="auto" w:sz="6" w:space="0"/>
              <w:bottom w:val="single" w:color="auto" w:sz="6" w:space="0"/>
              <w:right w:val="single" w:color="auto" w:sz="6" w:space="0"/>
            </w:tcBorders>
            <w:noWrap w:val="0"/>
            <w:vAlign w:val="top"/>
          </w:tcPr>
          <w:p>
            <w:pPr>
              <w:widowControl w:val="0"/>
              <w:autoSpaceDE w:val="0"/>
              <w:autoSpaceDN w:val="0"/>
              <w:adjustRightInd w:val="0"/>
              <w:jc w:val="both"/>
              <w:rPr>
                <w:color w:val="000000"/>
              </w:rPr>
            </w:pPr>
            <w:r>
              <w:rPr>
                <w:color w:val="000000"/>
                <w:lang w:val="uk-UA"/>
              </w:rPr>
              <w:t>2</w:t>
            </w:r>
            <w:r>
              <w:rPr>
                <w:color w:val="000000"/>
              </w:rPr>
              <w:t>.1. Відомості про учасника мають включати наступну інформацію (сканований оригінал):</w:t>
            </w:r>
          </w:p>
          <w:p>
            <w:pPr>
              <w:ind w:firstLine="284"/>
              <w:jc w:val="center"/>
              <w:rPr>
                <w:b/>
                <w:color w:val="000000"/>
                <w:lang w:eastAsia="en-US"/>
              </w:rPr>
            </w:pPr>
            <w:r>
              <w:rPr>
                <w:b/>
                <w:color w:val="000000"/>
                <w:lang w:eastAsia="en-US"/>
              </w:rPr>
              <w:t>Форма “ВІДОМОСТІ ПРО УЧАСНИКА”.</w:t>
            </w:r>
          </w:p>
          <w:p>
            <w:pPr>
              <w:pStyle w:val="15"/>
              <w:spacing w:after="0" w:line="240" w:lineRule="auto"/>
              <w:ind w:left="0"/>
              <w:rPr>
                <w:color w:val="000000"/>
                <w:sz w:val="24"/>
                <w:szCs w:val="24"/>
              </w:rPr>
            </w:pPr>
            <w:r>
              <w:rPr>
                <w:color w:val="000000"/>
                <w:sz w:val="24"/>
                <w:szCs w:val="24"/>
                <w:lang w:val="uk-UA"/>
              </w:rPr>
              <w:t xml:space="preserve">2.1.1. </w:t>
            </w:r>
            <w:r>
              <w:rPr>
                <w:color w:val="000000"/>
                <w:sz w:val="24"/>
                <w:szCs w:val="24"/>
              </w:rPr>
              <w:t>Повна та скорочена назва учасника, код за ЄДРПОУ;</w:t>
            </w:r>
          </w:p>
          <w:p>
            <w:pPr>
              <w:suppressAutoHyphens/>
              <w:jc w:val="both"/>
              <w:rPr>
                <w:color w:val="000000"/>
                <w:lang w:eastAsia="en-US"/>
              </w:rPr>
            </w:pPr>
            <w:r>
              <w:rPr>
                <w:color w:val="000000"/>
                <w:lang w:val="uk-UA" w:eastAsia="en-US"/>
              </w:rPr>
              <w:t xml:space="preserve">2.1.2. </w:t>
            </w:r>
            <w:r>
              <w:rPr>
                <w:color w:val="000000"/>
                <w:lang w:eastAsia="en-US"/>
              </w:rPr>
              <w:t xml:space="preserve">Статус учасника </w:t>
            </w:r>
            <w:r>
              <w:rPr>
                <w:color w:val="000000"/>
                <w:u w:val="single"/>
                <w:lang w:eastAsia="en-US"/>
              </w:rPr>
              <w:t>(виробник або надавач послуг або виконавець робіт, дилер, представник або ін.)</w:t>
            </w:r>
            <w:r>
              <w:rPr>
                <w:color w:val="000000"/>
                <w:lang w:eastAsia="en-US"/>
              </w:rPr>
              <w:t>:</w:t>
            </w:r>
          </w:p>
          <w:p>
            <w:pPr>
              <w:suppressAutoHyphens/>
              <w:jc w:val="both"/>
              <w:rPr>
                <w:color w:val="000000"/>
                <w:lang w:eastAsia="en-US"/>
              </w:rPr>
            </w:pPr>
            <w:r>
              <w:rPr>
                <w:color w:val="000000"/>
                <w:lang w:val="uk-UA" w:eastAsia="en-US"/>
              </w:rPr>
              <w:t xml:space="preserve">2.1.3. </w:t>
            </w:r>
            <w:r>
              <w:rPr>
                <w:color w:val="000000"/>
                <w:lang w:eastAsia="en-US"/>
              </w:rPr>
              <w:t>Організаційно-правова форма:</w:t>
            </w:r>
          </w:p>
          <w:p>
            <w:pPr>
              <w:suppressAutoHyphens/>
              <w:jc w:val="both"/>
              <w:rPr>
                <w:color w:val="000000"/>
                <w:lang w:eastAsia="en-US"/>
              </w:rPr>
            </w:pPr>
            <w:r>
              <w:rPr>
                <w:color w:val="000000"/>
                <w:lang w:val="uk-UA" w:eastAsia="en-US"/>
              </w:rPr>
              <w:t xml:space="preserve">2.1.4. </w:t>
            </w:r>
            <w:r>
              <w:rPr>
                <w:color w:val="000000"/>
                <w:lang w:eastAsia="en-US"/>
              </w:rPr>
              <w:t>Форма власності:</w:t>
            </w:r>
          </w:p>
          <w:p>
            <w:pPr>
              <w:suppressAutoHyphens/>
              <w:jc w:val="both"/>
              <w:rPr>
                <w:color w:val="000000"/>
                <w:lang w:eastAsia="en-US"/>
              </w:rPr>
            </w:pPr>
            <w:r>
              <w:rPr>
                <w:color w:val="000000"/>
                <w:lang w:val="uk-UA" w:eastAsia="en-US"/>
              </w:rPr>
              <w:t xml:space="preserve">2.1.5. </w:t>
            </w:r>
            <w:r>
              <w:rPr>
                <w:color w:val="000000"/>
                <w:lang w:eastAsia="en-US"/>
              </w:rPr>
              <w:t>Юридична адреса:</w:t>
            </w:r>
          </w:p>
          <w:p>
            <w:pPr>
              <w:suppressAutoHyphens/>
              <w:jc w:val="both"/>
              <w:rPr>
                <w:color w:val="000000"/>
                <w:lang w:eastAsia="en-US"/>
              </w:rPr>
            </w:pPr>
            <w:r>
              <w:rPr>
                <w:color w:val="000000"/>
                <w:lang w:val="uk-UA" w:eastAsia="en-US"/>
              </w:rPr>
              <w:t xml:space="preserve">2.1.6. </w:t>
            </w:r>
            <w:r>
              <w:rPr>
                <w:color w:val="000000"/>
                <w:lang w:eastAsia="en-US"/>
              </w:rPr>
              <w:t xml:space="preserve">Поштова адреса: </w:t>
            </w:r>
          </w:p>
          <w:p>
            <w:pPr>
              <w:pStyle w:val="15"/>
              <w:spacing w:after="0" w:line="240" w:lineRule="auto"/>
              <w:ind w:left="0"/>
              <w:jc w:val="both"/>
              <w:rPr>
                <w:color w:val="000000"/>
                <w:sz w:val="24"/>
                <w:szCs w:val="24"/>
                <w:lang w:val="ru-RU"/>
              </w:rPr>
            </w:pPr>
            <w:r>
              <w:rPr>
                <w:color w:val="000000"/>
                <w:sz w:val="24"/>
                <w:szCs w:val="24"/>
                <w:lang w:val="uk-UA"/>
              </w:rPr>
              <w:t xml:space="preserve">2.1.7. </w:t>
            </w:r>
            <w:r>
              <w:rPr>
                <w:color w:val="000000"/>
                <w:sz w:val="24"/>
                <w:szCs w:val="24"/>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r>
              <w:rPr>
                <w:b/>
                <w:bCs/>
                <w:color w:val="000000"/>
                <w:sz w:val="24"/>
                <w:szCs w:val="24"/>
                <w:u w:val="single"/>
              </w:rPr>
              <w:t>.</w:t>
            </w:r>
          </w:p>
        </w:tc>
      </w:tr>
      <w:tr>
        <w:trPr>
          <w:trHeight w:val="2191" w:hRule="atLeast"/>
        </w:trPr>
        <w:tc>
          <w:tcPr>
            <w:tcW w:w="541" w:type="dxa"/>
            <w:tcBorders>
              <w:top w:val="single" w:color="auto" w:sz="6" w:space="0"/>
              <w:left w:val="single" w:color="auto" w:sz="6" w:space="0"/>
              <w:bottom w:val="single" w:color="auto" w:sz="6" w:space="0"/>
              <w:right w:val="single" w:color="auto" w:sz="6" w:space="0"/>
            </w:tcBorders>
            <w:noWrap w:val="0"/>
            <w:vAlign w:val="center"/>
          </w:tcPr>
          <w:p>
            <w:pPr>
              <w:tabs>
                <w:tab w:val="left" w:pos="360"/>
              </w:tabs>
              <w:jc w:val="center"/>
              <w:rPr>
                <w:b/>
                <w:color w:val="000000"/>
                <w:lang w:val="uk-UA"/>
              </w:rPr>
            </w:pPr>
            <w:r>
              <w:rPr>
                <w:b/>
                <w:color w:val="000000"/>
                <w:lang w:val="uk-UA"/>
              </w:rPr>
              <w:t>3.</w:t>
            </w:r>
          </w:p>
        </w:tc>
        <w:tc>
          <w:tcPr>
            <w:tcW w:w="2572" w:type="dxa"/>
            <w:tcBorders>
              <w:top w:val="single" w:color="auto" w:sz="6" w:space="0"/>
              <w:left w:val="single" w:color="auto" w:sz="6" w:space="0"/>
              <w:bottom w:val="single" w:color="auto" w:sz="6" w:space="0"/>
              <w:right w:val="single" w:color="auto" w:sz="6" w:space="0"/>
            </w:tcBorders>
            <w:noWrap w:val="0"/>
            <w:vAlign w:val="top"/>
          </w:tcPr>
          <w:p>
            <w:pPr>
              <w:widowControl w:val="0"/>
              <w:rPr>
                <w:b/>
                <w:color w:val="000000"/>
              </w:rPr>
            </w:pPr>
            <w:r>
              <w:rPr>
                <w:b/>
                <w:color w:val="000000"/>
              </w:rPr>
              <w:t>Надання згоди на використання інформації на виконання вимог  Закону України «Про захист персональних даних»</w:t>
            </w:r>
          </w:p>
        </w:tc>
        <w:tc>
          <w:tcPr>
            <w:tcW w:w="6906" w:type="dxa"/>
            <w:tcBorders>
              <w:top w:val="single" w:color="auto" w:sz="6" w:space="0"/>
              <w:left w:val="single" w:color="auto" w:sz="6" w:space="0"/>
              <w:bottom w:val="single" w:color="auto" w:sz="6" w:space="0"/>
              <w:right w:val="single" w:color="auto" w:sz="6" w:space="0"/>
            </w:tcBorders>
            <w:noWrap w:val="0"/>
            <w:vAlign w:val="top"/>
          </w:tcPr>
          <w:p>
            <w:pPr>
              <w:jc w:val="both"/>
              <w:rPr>
                <w:color w:val="000000"/>
                <w:lang w:eastAsia="en-US"/>
              </w:rPr>
            </w:pPr>
            <w:r>
              <w:rPr>
                <w:color w:val="000000"/>
                <w:lang w:val="uk-UA" w:eastAsia="en-US"/>
              </w:rPr>
              <w:t>3</w:t>
            </w:r>
            <w:r>
              <w:rPr>
                <w:color w:val="000000"/>
                <w:lang w:eastAsia="en-US"/>
              </w:rPr>
              <w:t>.1.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w:t>
            </w:r>
            <w:r>
              <w:rPr>
                <w:color w:val="000000"/>
                <w:lang w:val="uk-UA" w:eastAsia="en-US"/>
              </w:rPr>
              <w:t xml:space="preserve"> уповноважені на </w:t>
            </w:r>
            <w:r>
              <w:rPr>
                <w:color w:val="000000"/>
                <w:lang w:eastAsia="en-US"/>
              </w:rPr>
              <w:t>підпи</w:t>
            </w:r>
            <w:r>
              <w:rPr>
                <w:color w:val="000000"/>
                <w:lang w:val="uk-UA" w:eastAsia="en-US"/>
              </w:rPr>
              <w:t>сання</w:t>
            </w:r>
            <w:r>
              <w:rPr>
                <w:color w:val="000000"/>
                <w:lang w:eastAsia="en-US"/>
              </w:rPr>
              <w:t xml:space="preserve"> документів тендерної пропозиції та договору</w:t>
            </w:r>
            <w:r>
              <w:rPr>
                <w:color w:val="000000"/>
                <w:lang w:val="uk-UA" w:eastAsia="en-US"/>
              </w:rPr>
              <w:t xml:space="preserve"> про закупівлю</w:t>
            </w:r>
            <w:r>
              <w:rPr>
                <w:color w:val="000000"/>
                <w:lang w:eastAsia="en-US"/>
              </w:rPr>
              <w:t xml:space="preserve">, за результатами торгів </w:t>
            </w:r>
            <w:r>
              <w:rPr>
                <w:color w:val="000000"/>
              </w:rPr>
              <w:t xml:space="preserve">(сканований оригінал). </w:t>
            </w:r>
          </w:p>
        </w:tc>
      </w:tr>
      <w:tr>
        <w:trPr>
          <w:trHeight w:val="3551" w:hRule="atLeast"/>
        </w:trPr>
        <w:tc>
          <w:tcPr>
            <w:tcW w:w="541" w:type="dxa"/>
            <w:tcBorders>
              <w:top w:val="single" w:color="auto" w:sz="6" w:space="0"/>
              <w:left w:val="single" w:color="auto" w:sz="6" w:space="0"/>
              <w:bottom w:val="single" w:color="auto" w:sz="6" w:space="0"/>
              <w:right w:val="single" w:color="auto" w:sz="6" w:space="0"/>
            </w:tcBorders>
            <w:noWrap w:val="0"/>
            <w:vAlign w:val="center"/>
          </w:tcPr>
          <w:p>
            <w:pPr>
              <w:tabs>
                <w:tab w:val="left" w:pos="360"/>
              </w:tabs>
              <w:jc w:val="center"/>
              <w:rPr>
                <w:b/>
                <w:color w:val="000000"/>
                <w:lang w:val="uk-UA"/>
              </w:rPr>
            </w:pPr>
            <w:r>
              <w:rPr>
                <w:b/>
                <w:color w:val="000000"/>
                <w:lang w:val="uk-UA"/>
              </w:rPr>
              <w:t>4.</w:t>
            </w:r>
          </w:p>
        </w:tc>
        <w:tc>
          <w:tcPr>
            <w:tcW w:w="2572" w:type="dxa"/>
            <w:tcBorders>
              <w:top w:val="single" w:color="auto" w:sz="6" w:space="0"/>
              <w:left w:val="single" w:color="auto" w:sz="6" w:space="0"/>
              <w:bottom w:val="single" w:color="auto" w:sz="6" w:space="0"/>
              <w:right w:val="single" w:color="auto" w:sz="6" w:space="0"/>
            </w:tcBorders>
            <w:noWrap w:val="0"/>
            <w:vAlign w:val="top"/>
          </w:tcPr>
          <w:p>
            <w:pPr>
              <w:widowControl w:val="0"/>
              <w:rPr>
                <w:b/>
                <w:color w:val="000000"/>
                <w:lang w:eastAsia="en-US"/>
              </w:rPr>
            </w:pPr>
            <w:r>
              <w:rPr>
                <w:b/>
                <w:color w:val="000000"/>
              </w:rPr>
              <w:t>Згода на включення Істотних умов договору до договору про закупівлю</w:t>
            </w:r>
          </w:p>
        </w:tc>
        <w:tc>
          <w:tcPr>
            <w:tcW w:w="6906" w:type="dxa"/>
            <w:tcBorders>
              <w:top w:val="single" w:color="auto" w:sz="6" w:space="0"/>
              <w:left w:val="single" w:color="auto" w:sz="6" w:space="0"/>
              <w:bottom w:val="single" w:color="auto" w:sz="6" w:space="0"/>
              <w:right w:val="single" w:color="auto" w:sz="6" w:space="0"/>
            </w:tcBorders>
            <w:noWrap w:val="0"/>
            <w:vAlign w:val="top"/>
          </w:tcPr>
          <w:p>
            <w:pPr>
              <w:widowControl w:val="0"/>
              <w:autoSpaceDE w:val="0"/>
              <w:autoSpaceDN w:val="0"/>
              <w:adjustRightInd w:val="0"/>
              <w:ind w:left="23"/>
              <w:jc w:val="both"/>
              <w:rPr>
                <w:color w:val="000000"/>
              </w:rPr>
            </w:pPr>
            <w:r>
              <w:rPr>
                <w:color w:val="000000"/>
                <w:lang w:val="uk-UA"/>
              </w:rPr>
              <w:t>4</w:t>
            </w:r>
            <w:r>
              <w:rPr>
                <w:color w:val="000000"/>
              </w:rPr>
              <w:t>.1.</w:t>
            </w:r>
            <w:r>
              <w:rPr>
                <w:color w:val="000000"/>
                <w:lang w:val="uk-UA"/>
              </w:rPr>
              <w:t xml:space="preserve"> </w:t>
            </w:r>
            <w:r>
              <w:rPr>
                <w:color w:val="000000"/>
              </w:rPr>
              <w:t>Про</w:t>
            </w:r>
            <w:r>
              <w:rPr>
                <w:color w:val="000000"/>
                <w:lang w:val="uk-UA"/>
              </w:rPr>
              <w:t>є</w:t>
            </w:r>
            <w:r>
              <w:rPr>
                <w:color w:val="000000"/>
              </w:rPr>
              <w:t xml:space="preserve">кт договору наведений </w:t>
            </w:r>
            <w:r>
              <w:rPr>
                <w:b/>
                <w:color w:val="000000"/>
              </w:rPr>
              <w:t>у Додатку №</w:t>
            </w:r>
            <w:r>
              <w:rPr>
                <w:b/>
                <w:color w:val="000000"/>
                <w:lang w:val="uk-UA"/>
              </w:rPr>
              <w:t xml:space="preserve"> </w:t>
            </w:r>
            <w:r>
              <w:rPr>
                <w:b/>
                <w:color w:val="000000"/>
              </w:rPr>
              <w:t xml:space="preserve">3 </w:t>
            </w:r>
            <w:r>
              <w:rPr>
                <w:color w:val="000000"/>
                <w:lang w:val="uk-UA"/>
              </w:rPr>
              <w:t>тендерної</w:t>
            </w:r>
            <w:r>
              <w:rPr>
                <w:color w:val="000000"/>
              </w:rPr>
              <w:t xml:space="preserve">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 (сканований оригінал). </w:t>
            </w:r>
          </w:p>
          <w:p>
            <w:pPr>
              <w:widowControl w:val="0"/>
              <w:autoSpaceDE w:val="0"/>
              <w:autoSpaceDN w:val="0"/>
              <w:adjustRightInd w:val="0"/>
              <w:ind w:left="23"/>
              <w:jc w:val="both"/>
              <w:rPr>
                <w:color w:val="000000"/>
              </w:rPr>
            </w:pPr>
            <w:r>
              <w:rPr>
                <w:color w:val="000000"/>
                <w:lang w:val="uk-UA"/>
              </w:rPr>
              <w:t>4</w:t>
            </w:r>
            <w:r>
              <w:rPr>
                <w:color w:val="000000"/>
              </w:rPr>
              <w:t>.2. Гарантійний лист від імені учасника про те, що істотні умови договору про закупівлю не можуть змінюватися після його підписання до виконання  зобов'язань  сторонами  у повному обсязі, крім виключних випадків, які безпосередньо передбачені у ст. 41 ЗУ «Про публічні закупівлі» та безпосередньо у про</w:t>
            </w:r>
            <w:r>
              <w:rPr>
                <w:color w:val="000000"/>
                <w:lang w:val="uk-UA"/>
              </w:rPr>
              <w:t>є</w:t>
            </w:r>
            <w:r>
              <w:rPr>
                <w:color w:val="000000"/>
              </w:rPr>
              <w:t xml:space="preserve">кті договору. </w:t>
            </w:r>
          </w:p>
          <w:p>
            <w:pPr>
              <w:widowControl w:val="0"/>
              <w:autoSpaceDE w:val="0"/>
              <w:autoSpaceDN w:val="0"/>
              <w:adjustRightInd w:val="0"/>
              <w:ind w:left="23"/>
              <w:jc w:val="both"/>
              <w:rPr>
                <w:color w:val="000000"/>
              </w:rPr>
            </w:pPr>
          </w:p>
          <w:p>
            <w:pPr>
              <w:widowControl w:val="0"/>
              <w:autoSpaceDE w:val="0"/>
              <w:autoSpaceDN w:val="0"/>
              <w:adjustRightInd w:val="0"/>
              <w:ind w:left="23"/>
              <w:jc w:val="both"/>
              <w:rPr>
                <w:color w:val="000000"/>
              </w:rPr>
            </w:pPr>
          </w:p>
        </w:tc>
      </w:tr>
      <w:tr>
        <w:tblPrEx>
          <w:tblCellMar>
            <w:top w:w="0" w:type="dxa"/>
            <w:left w:w="108" w:type="dxa"/>
            <w:bottom w:w="0" w:type="dxa"/>
            <w:right w:w="108" w:type="dxa"/>
          </w:tblCellMar>
        </w:tblPrEx>
        <w:trPr>
          <w:trHeight w:val="1918" w:hRule="atLeast"/>
        </w:trPr>
        <w:tc>
          <w:tcPr>
            <w:tcW w:w="541" w:type="dxa"/>
            <w:tcBorders>
              <w:top w:val="single" w:color="auto" w:sz="6" w:space="0"/>
              <w:left w:val="single" w:color="auto" w:sz="6" w:space="0"/>
              <w:bottom w:val="single" w:color="auto" w:sz="6" w:space="0"/>
              <w:right w:val="single" w:color="auto" w:sz="6" w:space="0"/>
            </w:tcBorders>
            <w:noWrap w:val="0"/>
            <w:vAlign w:val="center"/>
          </w:tcPr>
          <w:p>
            <w:pPr>
              <w:tabs>
                <w:tab w:val="left" w:pos="360"/>
              </w:tabs>
              <w:jc w:val="center"/>
              <w:rPr>
                <w:b/>
                <w:color w:val="000000"/>
                <w:lang w:val="uk-UA"/>
              </w:rPr>
            </w:pPr>
            <w:r>
              <w:rPr>
                <w:b/>
                <w:color w:val="000000"/>
                <w:lang w:val="uk-UA"/>
              </w:rPr>
              <w:t>5.</w:t>
            </w:r>
          </w:p>
        </w:tc>
        <w:tc>
          <w:tcPr>
            <w:tcW w:w="2572" w:type="dxa"/>
            <w:tcBorders>
              <w:top w:val="single" w:color="auto" w:sz="6" w:space="0"/>
              <w:left w:val="single" w:color="auto" w:sz="6" w:space="0"/>
              <w:bottom w:val="single" w:color="auto" w:sz="6" w:space="0"/>
              <w:right w:val="single" w:color="auto" w:sz="6" w:space="0"/>
            </w:tcBorders>
            <w:noWrap w:val="0"/>
            <w:vAlign w:val="top"/>
          </w:tcPr>
          <w:p>
            <w:pPr>
              <w:widowControl w:val="0"/>
              <w:rPr>
                <w:b/>
                <w:color w:val="000000"/>
                <w:lang w:val="uk-UA" w:eastAsia="zh-CN"/>
              </w:rPr>
            </w:pPr>
            <w:r>
              <w:rPr>
                <w:b/>
                <w:color w:val="000000"/>
                <w:shd w:val="clear" w:color="auto" w:fill="FFFFFF"/>
                <w:lang w:val="uk-UA"/>
              </w:rPr>
              <w:t>Інформація про необхідні технічні, якісні та кількісні характеристики предмета закупівлі, встановленим в документації</w:t>
            </w:r>
          </w:p>
        </w:tc>
        <w:tc>
          <w:tcPr>
            <w:tcW w:w="6906" w:type="dxa"/>
            <w:tcBorders>
              <w:top w:val="single" w:color="auto" w:sz="6" w:space="0"/>
              <w:left w:val="single" w:color="auto" w:sz="6" w:space="0"/>
              <w:bottom w:val="single" w:color="auto" w:sz="6" w:space="0"/>
              <w:right w:val="single" w:color="auto" w:sz="6" w:space="0"/>
            </w:tcBorders>
            <w:noWrap w:val="0"/>
            <w:vAlign w:val="top"/>
          </w:tcPr>
          <w:p>
            <w:pPr>
              <w:widowControl w:val="0"/>
              <w:jc w:val="both"/>
              <w:rPr>
                <w:color w:val="000000"/>
                <w:lang w:val="uk-UA"/>
              </w:rPr>
            </w:pPr>
            <w:r>
              <w:rPr>
                <w:color w:val="000000"/>
                <w:lang w:val="uk-UA"/>
              </w:rPr>
              <w:t>5.1.</w:t>
            </w:r>
            <w:r>
              <w:rPr>
                <w:lang w:val="uk-UA"/>
              </w:rPr>
              <w:t xml:space="preserve"> Інформація про необхідні технічні, якісні та кількісні характеристики предмета закупівлі, а саме підписаний </w:t>
            </w:r>
            <w:r>
              <w:rPr>
                <w:b/>
                <w:lang w:val="uk-UA"/>
              </w:rPr>
              <w:t xml:space="preserve">Додаток 2 </w:t>
            </w:r>
            <w:r>
              <w:rPr>
                <w:color w:val="000000"/>
                <w:lang w:val="uk-UA"/>
              </w:rPr>
              <w:t>тендерної</w:t>
            </w:r>
            <w:r>
              <w:rPr>
                <w:color w:val="000000"/>
              </w:rPr>
              <w:t xml:space="preserve"> документації</w:t>
            </w:r>
            <w:r>
              <w:rPr>
                <w:color w:val="000000"/>
                <w:lang w:val="uk-UA"/>
              </w:rPr>
              <w:t>.</w:t>
            </w:r>
          </w:p>
          <w:p>
            <w:pPr>
              <w:widowControl w:val="0"/>
              <w:jc w:val="both"/>
              <w:rPr>
                <w:color w:val="000000"/>
                <w:lang w:val="uk-UA"/>
              </w:rPr>
            </w:pPr>
            <w:r>
              <w:rPr>
                <w:color w:val="000000"/>
                <w:lang w:val="uk-UA"/>
              </w:rPr>
              <w:t>5.2. Технічні та якісні характеристики Товару передбачають необхідність застосування заходів із захисту довкілля, про що подаєтся учасником відповідний гарантійний лист.</w:t>
            </w:r>
          </w:p>
          <w:p>
            <w:pPr>
              <w:ind w:firstLine="219"/>
              <w:rPr>
                <w:b/>
                <w:color w:val="000000"/>
                <w:lang w:val="uk-UA"/>
              </w:rPr>
            </w:pPr>
          </w:p>
        </w:tc>
      </w:tr>
      <w:tr>
        <w:tblPrEx>
          <w:tblCellMar>
            <w:top w:w="0" w:type="dxa"/>
            <w:left w:w="108" w:type="dxa"/>
            <w:bottom w:w="0" w:type="dxa"/>
            <w:right w:w="108" w:type="dxa"/>
          </w:tblCellMar>
        </w:tblPrEx>
        <w:trPr>
          <w:trHeight w:val="845" w:hRule="atLeast"/>
        </w:trPr>
        <w:tc>
          <w:tcPr>
            <w:tcW w:w="541" w:type="dxa"/>
            <w:tcBorders>
              <w:top w:val="single" w:color="auto" w:sz="6" w:space="0"/>
              <w:left w:val="single" w:color="auto" w:sz="6" w:space="0"/>
              <w:bottom w:val="single" w:color="auto" w:sz="6" w:space="0"/>
              <w:right w:val="single" w:color="auto" w:sz="6" w:space="0"/>
            </w:tcBorders>
            <w:noWrap w:val="0"/>
            <w:vAlign w:val="center"/>
          </w:tcPr>
          <w:p>
            <w:pPr>
              <w:tabs>
                <w:tab w:val="left" w:pos="360"/>
              </w:tabs>
              <w:jc w:val="center"/>
              <w:rPr>
                <w:b/>
                <w:color w:val="000000"/>
                <w:lang w:val="uk-UA"/>
              </w:rPr>
            </w:pPr>
            <w:r>
              <w:rPr>
                <w:b/>
                <w:color w:val="000000"/>
                <w:lang w:val="uk-UA"/>
              </w:rPr>
              <w:t>6.</w:t>
            </w:r>
          </w:p>
        </w:tc>
        <w:tc>
          <w:tcPr>
            <w:tcW w:w="2572" w:type="dxa"/>
            <w:tcBorders>
              <w:top w:val="single" w:color="auto" w:sz="6" w:space="0"/>
              <w:left w:val="single" w:color="auto" w:sz="6" w:space="0"/>
              <w:bottom w:val="single" w:color="auto" w:sz="6" w:space="0"/>
              <w:right w:val="single" w:color="auto" w:sz="6" w:space="0"/>
            </w:tcBorders>
            <w:noWrap w:val="0"/>
            <w:vAlign w:val="top"/>
          </w:tcPr>
          <w:p>
            <w:pPr>
              <w:widowControl w:val="0"/>
              <w:rPr>
                <w:b/>
                <w:color w:val="000000"/>
                <w:shd w:val="clear" w:color="auto" w:fill="FFFFFF"/>
                <w:lang w:val="uk-UA"/>
              </w:rPr>
            </w:pPr>
            <w:r>
              <w:rPr>
                <w:b/>
                <w:color w:val="000000"/>
                <w:shd w:val="clear" w:color="auto" w:fill="FFFFFF"/>
                <w:lang w:val="uk-UA"/>
              </w:rPr>
              <w:t>Форма «Цінова пропозиція»</w:t>
            </w:r>
          </w:p>
        </w:tc>
        <w:tc>
          <w:tcPr>
            <w:tcW w:w="6906" w:type="dxa"/>
            <w:tcBorders>
              <w:top w:val="single" w:color="auto" w:sz="6" w:space="0"/>
              <w:left w:val="single" w:color="auto" w:sz="6" w:space="0"/>
              <w:bottom w:val="single" w:color="auto" w:sz="6" w:space="0"/>
              <w:right w:val="single" w:color="auto" w:sz="6" w:space="0"/>
            </w:tcBorders>
            <w:noWrap w:val="0"/>
            <w:vAlign w:val="top"/>
          </w:tcPr>
          <w:p>
            <w:pPr>
              <w:widowControl w:val="0"/>
              <w:autoSpaceDE w:val="0"/>
              <w:autoSpaceDN w:val="0"/>
              <w:adjustRightInd w:val="0"/>
              <w:ind w:left="23"/>
              <w:jc w:val="both"/>
              <w:rPr>
                <w:color w:val="000000"/>
                <w:lang w:val="uk-UA"/>
              </w:rPr>
            </w:pPr>
            <w:r>
              <w:rPr>
                <w:color w:val="000000"/>
                <w:lang w:val="uk-UA"/>
              </w:rPr>
              <w:t>6</w:t>
            </w:r>
            <w:r>
              <w:rPr>
                <w:color w:val="000000"/>
              </w:rPr>
              <w:t>.1.</w:t>
            </w:r>
            <w:r>
              <w:rPr>
                <w:color w:val="000000"/>
                <w:lang w:val="uk-UA"/>
              </w:rPr>
              <w:t xml:space="preserve"> Учасник у складі тендерної пропозиції подає заповнену форму «Цінова пропозиція», який наведений у </w:t>
            </w:r>
            <w:r>
              <w:rPr>
                <w:b/>
                <w:color w:val="000000"/>
                <w:lang w:val="uk-UA"/>
              </w:rPr>
              <w:t>Додатку № 4</w:t>
            </w:r>
            <w:r>
              <w:rPr>
                <w:color w:val="000000"/>
                <w:lang w:val="uk-UA"/>
              </w:rPr>
              <w:t xml:space="preserve"> тендерної документації</w:t>
            </w:r>
            <w:r>
              <w:rPr>
                <w:color w:val="000000"/>
              </w:rPr>
              <w:t>.</w:t>
            </w:r>
          </w:p>
        </w:tc>
      </w:tr>
    </w:tbl>
    <w:p>
      <w:pPr>
        <w:widowControl w:val="0"/>
        <w:autoSpaceDE w:val="0"/>
        <w:autoSpaceDN w:val="0"/>
        <w:adjustRightInd w:val="0"/>
        <w:ind w:firstLine="567"/>
        <w:jc w:val="both"/>
        <w:rPr>
          <w:i/>
          <w:color w:val="000000"/>
          <w:sz w:val="22"/>
          <w:szCs w:val="22"/>
          <w:lang w:val="uk-UA"/>
        </w:rPr>
      </w:pPr>
      <w:r>
        <w:rPr>
          <w:b/>
          <w:i/>
          <w:iCs/>
          <w:color w:val="000000"/>
          <w:sz w:val="22"/>
          <w:szCs w:val="22"/>
          <w:lang w:val="uk-UA"/>
        </w:rPr>
        <w:t>Примітки:</w:t>
      </w:r>
      <w:r>
        <w:rPr>
          <w:i/>
          <w:iCs/>
          <w:color w:val="000000"/>
          <w:sz w:val="22"/>
          <w:szCs w:val="22"/>
          <w:lang w:val="uk-UA"/>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w:t>
      </w:r>
      <w:r>
        <w:rPr>
          <w:i/>
          <w:color w:val="000000"/>
          <w:sz w:val="22"/>
          <w:szCs w:val="22"/>
          <w:lang w:val="uk-UA"/>
        </w:rPr>
        <w:t xml:space="preserve"> </w:t>
      </w:r>
      <w:r>
        <w:rPr>
          <w:i/>
          <w:iCs/>
          <w:color w:val="000000"/>
          <w:sz w:val="22"/>
          <w:szCs w:val="22"/>
          <w:lang w:val="uk-UA"/>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Pr>
          <w:i/>
          <w:color w:val="000000"/>
          <w:sz w:val="22"/>
          <w:szCs w:val="22"/>
          <w:lang w:val="uk-UA"/>
        </w:rPr>
        <w:t xml:space="preserve"> </w:t>
      </w:r>
      <w:r>
        <w:rPr>
          <w:i/>
          <w:color w:val="000000"/>
          <w:sz w:val="22"/>
          <w:szCs w:val="22"/>
        </w:rPr>
        <w:t xml:space="preserve">Про </w:t>
      </w:r>
      <w:r>
        <w:rPr>
          <w:i/>
          <w:color w:val="000000"/>
          <w:sz w:val="22"/>
          <w:szCs w:val="22"/>
          <w:lang w:val="uk-UA"/>
        </w:rPr>
        <w:t>т</w:t>
      </w:r>
      <w:r>
        <w:rPr>
          <w:i/>
          <w:color w:val="000000"/>
          <w:sz w:val="22"/>
          <w:szCs w:val="22"/>
        </w:rPr>
        <w:t>е такий учасник повинен зазначити у своїй пропозиції, включаючи обґрунтування та причини неподання документів та інформації</w:t>
      </w:r>
      <w:r>
        <w:rPr>
          <w:i/>
          <w:iCs/>
          <w:color w:val="000000"/>
          <w:sz w:val="22"/>
          <w:szCs w:val="22"/>
        </w:rPr>
        <w:t xml:space="preserve">; в) у випадку, якщо на виконання будь-якої вимоги документації в учасника наявні однакові документи, учасник має право подавати </w:t>
      </w:r>
      <w:r>
        <w:rPr>
          <w:i/>
          <w:color w:val="000000"/>
          <w:sz w:val="22"/>
          <w:szCs w:val="22"/>
        </w:rPr>
        <w:t xml:space="preserve">(завантажувати у електронному вигляді) </w:t>
      </w:r>
      <w:r>
        <w:rPr>
          <w:i/>
          <w:iCs/>
          <w:color w:val="000000"/>
          <w:sz w:val="22"/>
          <w:szCs w:val="22"/>
        </w:rPr>
        <w:t>один екземпляр зазначеного документу, без необхідності його дублювання; г)</w:t>
      </w:r>
      <w:r>
        <w:rPr>
          <w:color w:val="000000"/>
        </w:rPr>
        <w:t xml:space="preserve"> </w:t>
      </w:r>
      <w:r>
        <w:rPr>
          <w:i/>
          <w:color w:val="000000"/>
          <w:sz w:val="22"/>
          <w:szCs w:val="22"/>
          <w:lang w:val="uk-UA"/>
        </w:rPr>
        <w:t>у</w:t>
      </w:r>
      <w:r>
        <w:rPr>
          <w:i/>
          <w:color w:val="000000"/>
          <w:sz w:val="22"/>
          <w:szCs w:val="22"/>
        </w:rPr>
        <w:t>часник несе відповідальність за недостовірність інформації в поданих документах відповідно до чинного законодавства;</w:t>
      </w:r>
      <w:r>
        <w:rPr>
          <w:i/>
          <w:iCs/>
          <w:color w:val="000000"/>
          <w:sz w:val="22"/>
          <w:szCs w:val="22"/>
        </w:rPr>
        <w:t xml:space="preserve"> ґ)</w:t>
      </w:r>
      <w:r>
        <w:rPr>
          <w:i/>
          <w:color w:val="000000"/>
          <w:sz w:val="22"/>
          <w:szCs w:val="22"/>
        </w:rPr>
        <w:t xml:space="preserve"> </w:t>
      </w:r>
      <w:r>
        <w:rPr>
          <w:i/>
          <w:color w:val="000000"/>
          <w:sz w:val="22"/>
          <w:szCs w:val="22"/>
          <w:u w:val="single"/>
        </w:rPr>
        <w:t>якщо у будь-якому пункті документації не конкретизовано форми</w:t>
      </w:r>
      <w:r>
        <w:rPr>
          <w:i/>
          <w:color w:val="000000"/>
          <w:sz w:val="22"/>
          <w:szCs w:val="22"/>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документа/або скан-копії з оригіналу/або скан-копії з нотаріально завіреної копії</w:t>
      </w:r>
      <w:r>
        <w:rPr>
          <w:i/>
          <w:color w:val="000000"/>
          <w:sz w:val="22"/>
          <w:szCs w:val="22"/>
          <w:lang w:val="uk-UA"/>
        </w:rPr>
        <w:t>/</w:t>
      </w:r>
      <w:r>
        <w:rPr>
          <w:i/>
          <w:color w:val="000000"/>
          <w:sz w:val="22"/>
          <w:szCs w:val="22"/>
        </w:rPr>
        <w:t>або скан-копії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докуме</w:t>
      </w:r>
      <w:r>
        <w:rPr>
          <w:i/>
          <w:color w:val="000000"/>
          <w:sz w:val="22"/>
          <w:szCs w:val="22"/>
          <w:lang w:val="uk-UA"/>
        </w:rPr>
        <w:t>н</w:t>
      </w:r>
      <w:r>
        <w:rPr>
          <w:i/>
          <w:color w:val="000000"/>
          <w:sz w:val="22"/>
          <w:szCs w:val="22"/>
        </w:rPr>
        <w:t xml:space="preserve">т/або скан-копію з оригіналу/або скан-копію з нотаріальної копії цього документа  - це буде вважатися замовником як відповідність вимогам даної </w:t>
      </w:r>
      <w:r>
        <w:rPr>
          <w:i/>
          <w:color w:val="000000"/>
          <w:sz w:val="22"/>
          <w:szCs w:val="22"/>
          <w:lang w:val="uk-UA"/>
        </w:rPr>
        <w:t>д</w:t>
      </w:r>
      <w:r>
        <w:rPr>
          <w:i/>
          <w:color w:val="000000"/>
          <w:sz w:val="22"/>
          <w:szCs w:val="22"/>
        </w:rPr>
        <w:t>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Pr>
          <w:b/>
          <w:i/>
          <w:color w:val="000000"/>
          <w:sz w:val="22"/>
          <w:szCs w:val="22"/>
        </w:rPr>
        <w:t xml:space="preserve"> </w:t>
      </w:r>
      <w:r>
        <w:rPr>
          <w:i/>
          <w:color w:val="000000"/>
          <w:sz w:val="22"/>
          <w:szCs w:val="22"/>
        </w:rPr>
        <w:t>єдиного державного реєстру чи публічної інформації; ж)</w:t>
      </w:r>
      <w:r>
        <w:rPr>
          <w:i/>
          <w:color w:val="000000"/>
          <w:sz w:val="22"/>
          <w:szCs w:val="22"/>
          <w:lang w:val="uk-UA"/>
        </w:rPr>
        <w:t xml:space="preserve"> у</w:t>
      </w:r>
      <w:r>
        <w:rPr>
          <w:i/>
          <w:color w:val="000000"/>
          <w:sz w:val="22"/>
          <w:szCs w:val="22"/>
        </w:rPr>
        <w:t xml:space="preserve"> випадку виявлення будь-яких суперечностей між положеннями даної Документації та нормами чинного законодавства України чи З</w:t>
      </w:r>
      <w:r>
        <w:rPr>
          <w:i/>
          <w:color w:val="000000"/>
          <w:sz w:val="22"/>
          <w:szCs w:val="22"/>
          <w:lang w:val="uk-UA"/>
        </w:rPr>
        <w:t xml:space="preserve">акону </w:t>
      </w:r>
      <w:r>
        <w:rPr>
          <w:i/>
          <w:color w:val="000000"/>
          <w:sz w:val="22"/>
          <w:szCs w:val="22"/>
        </w:rPr>
        <w:t>У</w:t>
      </w:r>
      <w:r>
        <w:rPr>
          <w:i/>
          <w:color w:val="000000"/>
          <w:sz w:val="22"/>
          <w:szCs w:val="22"/>
          <w:lang w:val="uk-UA"/>
        </w:rPr>
        <w:t>країни</w:t>
      </w:r>
      <w:r>
        <w:rPr>
          <w:i/>
          <w:color w:val="000000"/>
          <w:sz w:val="22"/>
          <w:szCs w:val="22"/>
        </w:rPr>
        <w:t xml:space="preserve">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–означає, що такий документ має бути або електронний документ/або сканований з друкованої форми/чи іншим чином переведений у електронний формат </w:t>
      </w:r>
      <w:r>
        <w:rPr>
          <w:i/>
          <w:color w:val="000000"/>
          <w:sz w:val="22"/>
          <w:szCs w:val="22"/>
          <w:lang w:eastAsia="zh-CN"/>
        </w:rPr>
        <w:t>( *.pdf, .jpg, .</w:t>
      </w:r>
      <w:r>
        <w:rPr>
          <w:i/>
          <w:color w:val="000000"/>
          <w:sz w:val="22"/>
          <w:szCs w:val="22"/>
          <w:lang w:val="en-US" w:eastAsia="zh-CN"/>
        </w:rPr>
        <w:t>word</w:t>
      </w:r>
      <w:r>
        <w:rPr>
          <w:i/>
          <w:color w:val="000000"/>
          <w:sz w:val="22"/>
          <w:szCs w:val="22"/>
          <w:lang w:eastAsia="zh-CN"/>
        </w:rPr>
        <w:t xml:space="preserve"> (</w:t>
      </w:r>
      <w:r>
        <w:rPr>
          <w:i/>
          <w:color w:val="000000"/>
          <w:sz w:val="22"/>
          <w:szCs w:val="22"/>
          <w:lang w:val="en-US" w:eastAsia="zh-CN"/>
        </w:rPr>
        <w:t>doc</w:t>
      </w:r>
      <w:r>
        <w:rPr>
          <w:i/>
          <w:color w:val="000000"/>
          <w:sz w:val="22"/>
          <w:szCs w:val="22"/>
          <w:lang w:eastAsia="zh-CN"/>
        </w:rPr>
        <w:t>), .</w:t>
      </w:r>
      <w:r>
        <w:rPr>
          <w:i/>
          <w:color w:val="000000"/>
          <w:sz w:val="22"/>
          <w:szCs w:val="22"/>
          <w:lang w:val="en-US" w:eastAsia="zh-CN"/>
        </w:rPr>
        <w:t>ex</w:t>
      </w:r>
      <w:r>
        <w:rPr>
          <w:i/>
          <w:color w:val="000000"/>
          <w:sz w:val="22"/>
          <w:szCs w:val="22"/>
          <w:lang w:val="uk-UA" w:eastAsia="zh-CN"/>
        </w:rPr>
        <w:t>с</w:t>
      </w:r>
      <w:r>
        <w:rPr>
          <w:i/>
          <w:color w:val="000000"/>
          <w:sz w:val="22"/>
          <w:szCs w:val="22"/>
          <w:lang w:val="en-US" w:eastAsia="zh-CN"/>
        </w:rPr>
        <w:t>el</w:t>
      </w:r>
      <w:r>
        <w:rPr>
          <w:i/>
          <w:color w:val="000000"/>
          <w:sz w:val="22"/>
          <w:szCs w:val="22"/>
          <w:lang w:eastAsia="zh-CN"/>
        </w:rPr>
        <w:t xml:space="preserve"> (</w:t>
      </w:r>
      <w:r>
        <w:rPr>
          <w:i/>
          <w:color w:val="000000"/>
          <w:sz w:val="22"/>
          <w:szCs w:val="22"/>
          <w:lang w:val="en-US" w:eastAsia="zh-CN"/>
        </w:rPr>
        <w:t>xls</w:t>
      </w:r>
      <w:r>
        <w:rPr>
          <w:i/>
          <w:color w:val="000000"/>
          <w:sz w:val="22"/>
          <w:szCs w:val="22"/>
          <w:lang w:eastAsia="zh-CN"/>
        </w:rPr>
        <w:t>)/</w:t>
      </w:r>
      <w:r>
        <w:rPr>
          <w:i/>
          <w:color w:val="000000"/>
          <w:sz w:val="22"/>
          <w:szCs w:val="22"/>
          <w:lang w:eastAsia="ar-SA"/>
        </w:rPr>
        <w:t xml:space="preserve">або розширення програм, що здійснюють архівацію даних (WinRAR, 7-Zip)), </w:t>
      </w:r>
      <w:r>
        <w:rPr>
          <w:i/>
          <w:color w:val="000000"/>
          <w:sz w:val="22"/>
          <w:szCs w:val="22"/>
        </w:rPr>
        <w:t>та завантажений у електронному вигляді через майданчик учасника до даної закупівлі.</w:t>
      </w:r>
    </w:p>
    <w:p>
      <w:pPr>
        <w:ind w:right="-426"/>
        <w:jc w:val="left"/>
        <w:rPr>
          <w:b/>
        </w:rPr>
      </w:pPr>
    </w:p>
    <w:sectPr>
      <w:pgSz w:w="11906" w:h="16838"/>
      <w:pgMar w:top="1134" w:right="1133"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86"/>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Trebuchet MS"/>
    <w:panose1 w:val="020F0502020204030204"/>
    <w:charset w:val="86"/>
    <w:family w:val="swiss"/>
    <w:pitch w:val="default"/>
    <w:sig w:usb0="00000000" w:usb1="00000000" w:usb2="00000001" w:usb3="00000000" w:csb0="0000019F" w:csb1="00000000"/>
  </w:font>
  <w:font w:name="Calibri">
    <w:altName w:val="Trebuchet MS"/>
    <w:panose1 w:val="00000000000000000000"/>
    <w:charset w:val="00"/>
    <w:family w:val="auto"/>
    <w:pitch w:val="default"/>
    <w:sig w:usb0="00000000" w:usb1="00000000" w:usb2="00000000" w:usb3="00000000" w:csb0="00000000" w:csb1="00000000"/>
  </w:font>
  <w:font w:name="Tahoma">
    <w:altName w:val="DejaVu Sans"/>
    <w:panose1 w:val="020B0604030504040204"/>
    <w:charset w:val="CC"/>
    <w:family w:val="swiss"/>
    <w:pitch w:val="default"/>
    <w:sig w:usb0="00000000" w:usb1="00000000" w:usb2="00000029" w:usb3="00000000" w:csb0="000101FF"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swiss"/>
    <w:pitch w:val="default"/>
    <w:sig w:usb0="A00002AF" w:usb1="500078FB" w:usb2="00000000" w:usb3="00000000" w:csb0="6000009F" w:csb1="DFD70000"/>
  </w:font>
  <w:font w:name="Consolas">
    <w:altName w:val="Hack"/>
    <w:panose1 w:val="020B0609020204030204"/>
    <w:charset w:val="CC"/>
    <w:family w:val="modern"/>
    <w:pitch w:val="default"/>
    <w:sig w:usb0="00000000" w:usb1="00000000" w:usb2="00000001" w:usb3="00000000" w:csb0="0000019F" w:csb1="00000000"/>
  </w:font>
  <w:font w:name="Hack">
    <w:panose1 w:val="020B0609030202020204"/>
    <w:charset w:val="00"/>
    <w:family w:val="auto"/>
    <w:pitch w:val="default"/>
    <w:sig w:usb0="A50006EF" w:usb1="1000B8FB" w:usb2="00000020" w:usb3="00000000" w:csb0="2000019F" w:csb1="DFD70000"/>
  </w:font>
  <w:font w:name="Liberation Serif">
    <w:panose1 w:val="02020603050405020304"/>
    <w:charset w:val="CC"/>
    <w:family w:val="roman"/>
    <w:pitch w:val="default"/>
    <w:sig w:usb0="A00002AF" w:usb1="500078FB" w:usb2="00000000" w:usb3="00000000" w:csb0="6000009F" w:csb1="DFD70000"/>
  </w:font>
  <w:font w:name="Lohit Devanagari">
    <w:panose1 w:val="020B0600000000000000"/>
    <w:charset w:val="00"/>
    <w:family w:val="auto"/>
    <w:pitch w:val="default"/>
    <w:sig w:usb0="80008023" w:usb1="00002042"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936091"/>
    <w:multiLevelType w:val="multilevel"/>
    <w:tmpl w:val="36936091"/>
    <w:lvl w:ilvl="0" w:tentative="0">
      <w:start w:val="1"/>
      <w:numFmt w:val="decimal"/>
      <w:lvlText w:val="%1."/>
      <w:lvlJc w:val="left"/>
      <w:pPr>
        <w:ind w:left="3621"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85"/>
    <w:rsid w:val="00000D40"/>
    <w:rsid w:val="000023E7"/>
    <w:rsid w:val="00003F84"/>
    <w:rsid w:val="00012022"/>
    <w:rsid w:val="00015A86"/>
    <w:rsid w:val="00016A6B"/>
    <w:rsid w:val="000179A0"/>
    <w:rsid w:val="000211E9"/>
    <w:rsid w:val="00025B81"/>
    <w:rsid w:val="00026819"/>
    <w:rsid w:val="00033114"/>
    <w:rsid w:val="00041A2F"/>
    <w:rsid w:val="00043F09"/>
    <w:rsid w:val="00054A44"/>
    <w:rsid w:val="00055CC3"/>
    <w:rsid w:val="000665B4"/>
    <w:rsid w:val="000709F3"/>
    <w:rsid w:val="00071B7D"/>
    <w:rsid w:val="00071FAF"/>
    <w:rsid w:val="0007440E"/>
    <w:rsid w:val="00075875"/>
    <w:rsid w:val="00084D5A"/>
    <w:rsid w:val="0009262E"/>
    <w:rsid w:val="0009466A"/>
    <w:rsid w:val="00094C6F"/>
    <w:rsid w:val="000A0A9C"/>
    <w:rsid w:val="000A4CAA"/>
    <w:rsid w:val="000A7CE6"/>
    <w:rsid w:val="000B1710"/>
    <w:rsid w:val="000B1736"/>
    <w:rsid w:val="000B3731"/>
    <w:rsid w:val="000C4DF9"/>
    <w:rsid w:val="000C5139"/>
    <w:rsid w:val="000C72C0"/>
    <w:rsid w:val="000D080E"/>
    <w:rsid w:val="000D1147"/>
    <w:rsid w:val="000D4B7E"/>
    <w:rsid w:val="000D5C7A"/>
    <w:rsid w:val="000E0B47"/>
    <w:rsid w:val="000E1350"/>
    <w:rsid w:val="000E21B7"/>
    <w:rsid w:val="000E22C1"/>
    <w:rsid w:val="000E3320"/>
    <w:rsid w:val="000E3658"/>
    <w:rsid w:val="000E4F17"/>
    <w:rsid w:val="000E5C99"/>
    <w:rsid w:val="000E65B0"/>
    <w:rsid w:val="000E7E6D"/>
    <w:rsid w:val="000F1BA3"/>
    <w:rsid w:val="000F2651"/>
    <w:rsid w:val="00100575"/>
    <w:rsid w:val="00101037"/>
    <w:rsid w:val="00101B47"/>
    <w:rsid w:val="00105DFC"/>
    <w:rsid w:val="00110D8D"/>
    <w:rsid w:val="001169AA"/>
    <w:rsid w:val="001176A1"/>
    <w:rsid w:val="00121C33"/>
    <w:rsid w:val="00125CC5"/>
    <w:rsid w:val="00127441"/>
    <w:rsid w:val="00132C22"/>
    <w:rsid w:val="00135079"/>
    <w:rsid w:val="00137CBC"/>
    <w:rsid w:val="00140E09"/>
    <w:rsid w:val="00142C39"/>
    <w:rsid w:val="001440DC"/>
    <w:rsid w:val="001567C7"/>
    <w:rsid w:val="0016249C"/>
    <w:rsid w:val="00170108"/>
    <w:rsid w:val="001702BC"/>
    <w:rsid w:val="001716D0"/>
    <w:rsid w:val="00173D8A"/>
    <w:rsid w:val="0017611E"/>
    <w:rsid w:val="00180D39"/>
    <w:rsid w:val="00183DE4"/>
    <w:rsid w:val="00185B85"/>
    <w:rsid w:val="001923C1"/>
    <w:rsid w:val="001937CB"/>
    <w:rsid w:val="0019390A"/>
    <w:rsid w:val="00193D69"/>
    <w:rsid w:val="001A04D7"/>
    <w:rsid w:val="001A08A3"/>
    <w:rsid w:val="001A197E"/>
    <w:rsid w:val="001A3051"/>
    <w:rsid w:val="001A3827"/>
    <w:rsid w:val="001A4A8C"/>
    <w:rsid w:val="001B0A8C"/>
    <w:rsid w:val="001C1B3C"/>
    <w:rsid w:val="001C1C43"/>
    <w:rsid w:val="001C2E03"/>
    <w:rsid w:val="001C5B3B"/>
    <w:rsid w:val="001C76A2"/>
    <w:rsid w:val="001E0A2F"/>
    <w:rsid w:val="001E1B7D"/>
    <w:rsid w:val="001E2325"/>
    <w:rsid w:val="001E3BAF"/>
    <w:rsid w:val="001E4387"/>
    <w:rsid w:val="001E5B7D"/>
    <w:rsid w:val="001F4A93"/>
    <w:rsid w:val="001F57F4"/>
    <w:rsid w:val="001F73A8"/>
    <w:rsid w:val="00202CD2"/>
    <w:rsid w:val="00203F34"/>
    <w:rsid w:val="00205D14"/>
    <w:rsid w:val="00206ED9"/>
    <w:rsid w:val="00211DF5"/>
    <w:rsid w:val="002120E8"/>
    <w:rsid w:val="0022341B"/>
    <w:rsid w:val="00223CB5"/>
    <w:rsid w:val="00225D47"/>
    <w:rsid w:val="00226EE7"/>
    <w:rsid w:val="002302D8"/>
    <w:rsid w:val="00236BDF"/>
    <w:rsid w:val="002476E0"/>
    <w:rsid w:val="002523F7"/>
    <w:rsid w:val="0025476D"/>
    <w:rsid w:val="002556F1"/>
    <w:rsid w:val="00261B89"/>
    <w:rsid w:val="00262180"/>
    <w:rsid w:val="0026742C"/>
    <w:rsid w:val="00275C18"/>
    <w:rsid w:val="00280CDD"/>
    <w:rsid w:val="00282F54"/>
    <w:rsid w:val="00283572"/>
    <w:rsid w:val="002850EE"/>
    <w:rsid w:val="0028582F"/>
    <w:rsid w:val="002860CC"/>
    <w:rsid w:val="00286CF5"/>
    <w:rsid w:val="002911A4"/>
    <w:rsid w:val="002952D4"/>
    <w:rsid w:val="002A0E35"/>
    <w:rsid w:val="002A2117"/>
    <w:rsid w:val="002A3891"/>
    <w:rsid w:val="002A3A59"/>
    <w:rsid w:val="002A3E8C"/>
    <w:rsid w:val="002A4008"/>
    <w:rsid w:val="002A472D"/>
    <w:rsid w:val="002A63D2"/>
    <w:rsid w:val="002B011E"/>
    <w:rsid w:val="002C4752"/>
    <w:rsid w:val="002C6B17"/>
    <w:rsid w:val="002D2E58"/>
    <w:rsid w:val="002D7A1F"/>
    <w:rsid w:val="002E19B8"/>
    <w:rsid w:val="002F3E64"/>
    <w:rsid w:val="002F7724"/>
    <w:rsid w:val="00300F38"/>
    <w:rsid w:val="00306E36"/>
    <w:rsid w:val="00311C5A"/>
    <w:rsid w:val="003125D2"/>
    <w:rsid w:val="00314BF8"/>
    <w:rsid w:val="00315B4B"/>
    <w:rsid w:val="00316AD0"/>
    <w:rsid w:val="00317874"/>
    <w:rsid w:val="003233FD"/>
    <w:rsid w:val="00324C6B"/>
    <w:rsid w:val="00325CB7"/>
    <w:rsid w:val="00327DEA"/>
    <w:rsid w:val="003326ED"/>
    <w:rsid w:val="00347CED"/>
    <w:rsid w:val="00347F1A"/>
    <w:rsid w:val="00360D86"/>
    <w:rsid w:val="0036166D"/>
    <w:rsid w:val="00361FEF"/>
    <w:rsid w:val="00365DF2"/>
    <w:rsid w:val="0036630E"/>
    <w:rsid w:val="0037526B"/>
    <w:rsid w:val="003911BB"/>
    <w:rsid w:val="0039449C"/>
    <w:rsid w:val="00394B26"/>
    <w:rsid w:val="003952E8"/>
    <w:rsid w:val="003969DF"/>
    <w:rsid w:val="00397196"/>
    <w:rsid w:val="003A1931"/>
    <w:rsid w:val="003A3638"/>
    <w:rsid w:val="003A4847"/>
    <w:rsid w:val="003B7FBB"/>
    <w:rsid w:val="003C33F5"/>
    <w:rsid w:val="003C46BC"/>
    <w:rsid w:val="003C7EB9"/>
    <w:rsid w:val="003D0EE0"/>
    <w:rsid w:val="003D168D"/>
    <w:rsid w:val="003D1892"/>
    <w:rsid w:val="003D19D2"/>
    <w:rsid w:val="003D2C48"/>
    <w:rsid w:val="003D457F"/>
    <w:rsid w:val="003D5F91"/>
    <w:rsid w:val="003E117D"/>
    <w:rsid w:val="003E1286"/>
    <w:rsid w:val="003E289F"/>
    <w:rsid w:val="003F316F"/>
    <w:rsid w:val="003F34B8"/>
    <w:rsid w:val="003F4236"/>
    <w:rsid w:val="003F513F"/>
    <w:rsid w:val="003F72EC"/>
    <w:rsid w:val="00402F01"/>
    <w:rsid w:val="00411EF7"/>
    <w:rsid w:val="00412A12"/>
    <w:rsid w:val="0041367F"/>
    <w:rsid w:val="0041405D"/>
    <w:rsid w:val="00420399"/>
    <w:rsid w:val="00422BD6"/>
    <w:rsid w:val="00425760"/>
    <w:rsid w:val="00427D78"/>
    <w:rsid w:val="00431653"/>
    <w:rsid w:val="00436D8C"/>
    <w:rsid w:val="00437EE4"/>
    <w:rsid w:val="004406D1"/>
    <w:rsid w:val="00440B06"/>
    <w:rsid w:val="00443C0B"/>
    <w:rsid w:val="0044560F"/>
    <w:rsid w:val="00445C02"/>
    <w:rsid w:val="00446147"/>
    <w:rsid w:val="00447182"/>
    <w:rsid w:val="004475BE"/>
    <w:rsid w:val="00465EF6"/>
    <w:rsid w:val="004672F7"/>
    <w:rsid w:val="0047016E"/>
    <w:rsid w:val="0047045F"/>
    <w:rsid w:val="0047245A"/>
    <w:rsid w:val="004735E1"/>
    <w:rsid w:val="004746D4"/>
    <w:rsid w:val="0047568B"/>
    <w:rsid w:val="00477D92"/>
    <w:rsid w:val="0048620A"/>
    <w:rsid w:val="00487181"/>
    <w:rsid w:val="00491A15"/>
    <w:rsid w:val="00495BAD"/>
    <w:rsid w:val="004A652D"/>
    <w:rsid w:val="004B5DC8"/>
    <w:rsid w:val="004B6BDA"/>
    <w:rsid w:val="004C5EA5"/>
    <w:rsid w:val="004C68C4"/>
    <w:rsid w:val="004C78E2"/>
    <w:rsid w:val="004C7942"/>
    <w:rsid w:val="004D397D"/>
    <w:rsid w:val="004D4856"/>
    <w:rsid w:val="004D4B06"/>
    <w:rsid w:val="004D51FF"/>
    <w:rsid w:val="004D6C89"/>
    <w:rsid w:val="004F0A76"/>
    <w:rsid w:val="004F14B6"/>
    <w:rsid w:val="004F3989"/>
    <w:rsid w:val="004F3F16"/>
    <w:rsid w:val="004F4782"/>
    <w:rsid w:val="005006B7"/>
    <w:rsid w:val="00502D13"/>
    <w:rsid w:val="005039C3"/>
    <w:rsid w:val="00505092"/>
    <w:rsid w:val="00506715"/>
    <w:rsid w:val="00507172"/>
    <w:rsid w:val="0051018E"/>
    <w:rsid w:val="00513BAE"/>
    <w:rsid w:val="00514BAC"/>
    <w:rsid w:val="00524D65"/>
    <w:rsid w:val="0053087D"/>
    <w:rsid w:val="00530E67"/>
    <w:rsid w:val="005328F9"/>
    <w:rsid w:val="0053673B"/>
    <w:rsid w:val="005529E0"/>
    <w:rsid w:val="00555D3E"/>
    <w:rsid w:val="00562C95"/>
    <w:rsid w:val="00563B2C"/>
    <w:rsid w:val="005670A7"/>
    <w:rsid w:val="00570280"/>
    <w:rsid w:val="00571CD0"/>
    <w:rsid w:val="00571ED1"/>
    <w:rsid w:val="00572C5E"/>
    <w:rsid w:val="00573419"/>
    <w:rsid w:val="00574A59"/>
    <w:rsid w:val="0058212B"/>
    <w:rsid w:val="0058427D"/>
    <w:rsid w:val="0058647E"/>
    <w:rsid w:val="00587C45"/>
    <w:rsid w:val="0059029D"/>
    <w:rsid w:val="00592639"/>
    <w:rsid w:val="005938CA"/>
    <w:rsid w:val="00595FBE"/>
    <w:rsid w:val="005A0323"/>
    <w:rsid w:val="005A3682"/>
    <w:rsid w:val="005B453F"/>
    <w:rsid w:val="005C077D"/>
    <w:rsid w:val="005C2BFA"/>
    <w:rsid w:val="005C4F5C"/>
    <w:rsid w:val="005C61AE"/>
    <w:rsid w:val="005D1CA1"/>
    <w:rsid w:val="005D2080"/>
    <w:rsid w:val="005D3F13"/>
    <w:rsid w:val="005D5519"/>
    <w:rsid w:val="005E1DC1"/>
    <w:rsid w:val="005E479D"/>
    <w:rsid w:val="005E4A4A"/>
    <w:rsid w:val="005F1664"/>
    <w:rsid w:val="005F4E50"/>
    <w:rsid w:val="005F5E79"/>
    <w:rsid w:val="005F6078"/>
    <w:rsid w:val="00602575"/>
    <w:rsid w:val="00605902"/>
    <w:rsid w:val="006074DE"/>
    <w:rsid w:val="00607D37"/>
    <w:rsid w:val="00616BBF"/>
    <w:rsid w:val="00623201"/>
    <w:rsid w:val="00634CC2"/>
    <w:rsid w:val="00634E08"/>
    <w:rsid w:val="00640BE4"/>
    <w:rsid w:val="00641936"/>
    <w:rsid w:val="00644847"/>
    <w:rsid w:val="00647016"/>
    <w:rsid w:val="00650C02"/>
    <w:rsid w:val="006510AB"/>
    <w:rsid w:val="00663C87"/>
    <w:rsid w:val="00663EEE"/>
    <w:rsid w:val="00664EF5"/>
    <w:rsid w:val="00666E20"/>
    <w:rsid w:val="00666E9D"/>
    <w:rsid w:val="00671DC0"/>
    <w:rsid w:val="0067566E"/>
    <w:rsid w:val="00682777"/>
    <w:rsid w:val="006844A7"/>
    <w:rsid w:val="00694260"/>
    <w:rsid w:val="006A2EC5"/>
    <w:rsid w:val="006A60AE"/>
    <w:rsid w:val="006A6A00"/>
    <w:rsid w:val="006B1B63"/>
    <w:rsid w:val="006B313B"/>
    <w:rsid w:val="006B76EB"/>
    <w:rsid w:val="006C0561"/>
    <w:rsid w:val="006C30DB"/>
    <w:rsid w:val="006D35AE"/>
    <w:rsid w:val="006D63E5"/>
    <w:rsid w:val="006E34A6"/>
    <w:rsid w:val="006E5D54"/>
    <w:rsid w:val="006F48CD"/>
    <w:rsid w:val="00702C76"/>
    <w:rsid w:val="007034A2"/>
    <w:rsid w:val="007046F2"/>
    <w:rsid w:val="007048C4"/>
    <w:rsid w:val="007076C8"/>
    <w:rsid w:val="00714D4A"/>
    <w:rsid w:val="00715EB5"/>
    <w:rsid w:val="00717FB8"/>
    <w:rsid w:val="007252AA"/>
    <w:rsid w:val="00726FAA"/>
    <w:rsid w:val="00730BA5"/>
    <w:rsid w:val="0073578A"/>
    <w:rsid w:val="00736215"/>
    <w:rsid w:val="007411A2"/>
    <w:rsid w:val="00741B71"/>
    <w:rsid w:val="00742A97"/>
    <w:rsid w:val="007445BF"/>
    <w:rsid w:val="007517CD"/>
    <w:rsid w:val="00752321"/>
    <w:rsid w:val="00753C63"/>
    <w:rsid w:val="007554E3"/>
    <w:rsid w:val="00760C09"/>
    <w:rsid w:val="0076271F"/>
    <w:rsid w:val="00764DBC"/>
    <w:rsid w:val="007661EE"/>
    <w:rsid w:val="007664AE"/>
    <w:rsid w:val="00766F97"/>
    <w:rsid w:val="0076756D"/>
    <w:rsid w:val="00773561"/>
    <w:rsid w:val="00777151"/>
    <w:rsid w:val="00782727"/>
    <w:rsid w:val="007853F4"/>
    <w:rsid w:val="007865E1"/>
    <w:rsid w:val="00793677"/>
    <w:rsid w:val="00796400"/>
    <w:rsid w:val="007A0286"/>
    <w:rsid w:val="007A430C"/>
    <w:rsid w:val="007A4860"/>
    <w:rsid w:val="007A5139"/>
    <w:rsid w:val="007A7558"/>
    <w:rsid w:val="007B2BF2"/>
    <w:rsid w:val="007B70F9"/>
    <w:rsid w:val="007C046F"/>
    <w:rsid w:val="007C08DC"/>
    <w:rsid w:val="007C1798"/>
    <w:rsid w:val="007C279A"/>
    <w:rsid w:val="007D0CB0"/>
    <w:rsid w:val="007D24FB"/>
    <w:rsid w:val="007E1EFA"/>
    <w:rsid w:val="007E7057"/>
    <w:rsid w:val="007E7FF0"/>
    <w:rsid w:val="007F2885"/>
    <w:rsid w:val="007F3B04"/>
    <w:rsid w:val="007F7399"/>
    <w:rsid w:val="00800F23"/>
    <w:rsid w:val="008032E8"/>
    <w:rsid w:val="00806A69"/>
    <w:rsid w:val="00807486"/>
    <w:rsid w:val="0082054F"/>
    <w:rsid w:val="008209DD"/>
    <w:rsid w:val="00825131"/>
    <w:rsid w:val="00826214"/>
    <w:rsid w:val="00827A98"/>
    <w:rsid w:val="00831D95"/>
    <w:rsid w:val="00831F5A"/>
    <w:rsid w:val="008325AE"/>
    <w:rsid w:val="00835511"/>
    <w:rsid w:val="00841A4B"/>
    <w:rsid w:val="008444FF"/>
    <w:rsid w:val="00845C6A"/>
    <w:rsid w:val="00853889"/>
    <w:rsid w:val="00853AEB"/>
    <w:rsid w:val="00855394"/>
    <w:rsid w:val="008672E3"/>
    <w:rsid w:val="008675ED"/>
    <w:rsid w:val="0087135B"/>
    <w:rsid w:val="00885F3B"/>
    <w:rsid w:val="00893DBA"/>
    <w:rsid w:val="00896842"/>
    <w:rsid w:val="008A1E4E"/>
    <w:rsid w:val="008A276E"/>
    <w:rsid w:val="008A4719"/>
    <w:rsid w:val="008A7238"/>
    <w:rsid w:val="008B282C"/>
    <w:rsid w:val="008B29D5"/>
    <w:rsid w:val="008C2D04"/>
    <w:rsid w:val="008C30C0"/>
    <w:rsid w:val="008C3501"/>
    <w:rsid w:val="008C470D"/>
    <w:rsid w:val="008C6082"/>
    <w:rsid w:val="008D100A"/>
    <w:rsid w:val="008D1221"/>
    <w:rsid w:val="008D18C2"/>
    <w:rsid w:val="008D194B"/>
    <w:rsid w:val="008D378F"/>
    <w:rsid w:val="008D4FC2"/>
    <w:rsid w:val="008D7538"/>
    <w:rsid w:val="008E1FBC"/>
    <w:rsid w:val="008E2422"/>
    <w:rsid w:val="008E2820"/>
    <w:rsid w:val="008E67F4"/>
    <w:rsid w:val="008F21A5"/>
    <w:rsid w:val="008F429A"/>
    <w:rsid w:val="008F625E"/>
    <w:rsid w:val="008F7DD9"/>
    <w:rsid w:val="009006F1"/>
    <w:rsid w:val="009006F9"/>
    <w:rsid w:val="0090598B"/>
    <w:rsid w:val="009121B0"/>
    <w:rsid w:val="00912C79"/>
    <w:rsid w:val="009150E9"/>
    <w:rsid w:val="00915F96"/>
    <w:rsid w:val="00917A82"/>
    <w:rsid w:val="00917E21"/>
    <w:rsid w:val="00921003"/>
    <w:rsid w:val="00921116"/>
    <w:rsid w:val="0092164A"/>
    <w:rsid w:val="0092198B"/>
    <w:rsid w:val="00923F7F"/>
    <w:rsid w:val="009260C5"/>
    <w:rsid w:val="009446A3"/>
    <w:rsid w:val="009465FD"/>
    <w:rsid w:val="0095060D"/>
    <w:rsid w:val="00951B2F"/>
    <w:rsid w:val="009561D6"/>
    <w:rsid w:val="00962F33"/>
    <w:rsid w:val="009651EE"/>
    <w:rsid w:val="00977CA1"/>
    <w:rsid w:val="00982216"/>
    <w:rsid w:val="00983508"/>
    <w:rsid w:val="009837F5"/>
    <w:rsid w:val="0099328B"/>
    <w:rsid w:val="00997A5E"/>
    <w:rsid w:val="009A0162"/>
    <w:rsid w:val="009A28F0"/>
    <w:rsid w:val="009A63A8"/>
    <w:rsid w:val="009B4551"/>
    <w:rsid w:val="009B63A9"/>
    <w:rsid w:val="009B7407"/>
    <w:rsid w:val="009C0BE1"/>
    <w:rsid w:val="009C2A16"/>
    <w:rsid w:val="009D0A45"/>
    <w:rsid w:val="009D5F6D"/>
    <w:rsid w:val="009D673E"/>
    <w:rsid w:val="009D6DA3"/>
    <w:rsid w:val="009E4467"/>
    <w:rsid w:val="009E5DBF"/>
    <w:rsid w:val="009F0A06"/>
    <w:rsid w:val="009F1AD7"/>
    <w:rsid w:val="009F305D"/>
    <w:rsid w:val="009F3E16"/>
    <w:rsid w:val="009F6EAD"/>
    <w:rsid w:val="00A002EA"/>
    <w:rsid w:val="00A05B64"/>
    <w:rsid w:val="00A118DD"/>
    <w:rsid w:val="00A12DB8"/>
    <w:rsid w:val="00A13DA5"/>
    <w:rsid w:val="00A1564B"/>
    <w:rsid w:val="00A169E6"/>
    <w:rsid w:val="00A2043C"/>
    <w:rsid w:val="00A205AA"/>
    <w:rsid w:val="00A21B6B"/>
    <w:rsid w:val="00A23DCD"/>
    <w:rsid w:val="00A251A9"/>
    <w:rsid w:val="00A260AC"/>
    <w:rsid w:val="00A3105B"/>
    <w:rsid w:val="00A352EB"/>
    <w:rsid w:val="00A37085"/>
    <w:rsid w:val="00A44218"/>
    <w:rsid w:val="00A45A73"/>
    <w:rsid w:val="00A45B30"/>
    <w:rsid w:val="00A55919"/>
    <w:rsid w:val="00A63400"/>
    <w:rsid w:val="00A63496"/>
    <w:rsid w:val="00A71657"/>
    <w:rsid w:val="00A730FF"/>
    <w:rsid w:val="00A736CD"/>
    <w:rsid w:val="00A73DF4"/>
    <w:rsid w:val="00A752CE"/>
    <w:rsid w:val="00A7797A"/>
    <w:rsid w:val="00A83E84"/>
    <w:rsid w:val="00A849D3"/>
    <w:rsid w:val="00A871F1"/>
    <w:rsid w:val="00A8745A"/>
    <w:rsid w:val="00A93CCD"/>
    <w:rsid w:val="00A97DDD"/>
    <w:rsid w:val="00AA132A"/>
    <w:rsid w:val="00AA1F09"/>
    <w:rsid w:val="00AA2BBE"/>
    <w:rsid w:val="00AA3C8C"/>
    <w:rsid w:val="00AA51CF"/>
    <w:rsid w:val="00AA5646"/>
    <w:rsid w:val="00AA79DF"/>
    <w:rsid w:val="00AB2163"/>
    <w:rsid w:val="00AB2633"/>
    <w:rsid w:val="00AB31B8"/>
    <w:rsid w:val="00AB5F71"/>
    <w:rsid w:val="00AC1A1C"/>
    <w:rsid w:val="00AC2208"/>
    <w:rsid w:val="00AD162B"/>
    <w:rsid w:val="00AD34CD"/>
    <w:rsid w:val="00AD6257"/>
    <w:rsid w:val="00AE0EF8"/>
    <w:rsid w:val="00AF2E86"/>
    <w:rsid w:val="00AF4E73"/>
    <w:rsid w:val="00AF5699"/>
    <w:rsid w:val="00AF6410"/>
    <w:rsid w:val="00B02D47"/>
    <w:rsid w:val="00B02FC5"/>
    <w:rsid w:val="00B07FAD"/>
    <w:rsid w:val="00B103A1"/>
    <w:rsid w:val="00B12277"/>
    <w:rsid w:val="00B13D70"/>
    <w:rsid w:val="00B1532A"/>
    <w:rsid w:val="00B15D50"/>
    <w:rsid w:val="00B1627B"/>
    <w:rsid w:val="00B175F9"/>
    <w:rsid w:val="00B17844"/>
    <w:rsid w:val="00B17944"/>
    <w:rsid w:val="00B17E1A"/>
    <w:rsid w:val="00B22A50"/>
    <w:rsid w:val="00B2314C"/>
    <w:rsid w:val="00B233A3"/>
    <w:rsid w:val="00B25E7B"/>
    <w:rsid w:val="00B26C85"/>
    <w:rsid w:val="00B30E9F"/>
    <w:rsid w:val="00B320E6"/>
    <w:rsid w:val="00B34057"/>
    <w:rsid w:val="00B34BDB"/>
    <w:rsid w:val="00B36D60"/>
    <w:rsid w:val="00B503C1"/>
    <w:rsid w:val="00B610BE"/>
    <w:rsid w:val="00B653F3"/>
    <w:rsid w:val="00B67F74"/>
    <w:rsid w:val="00B717CD"/>
    <w:rsid w:val="00B71C79"/>
    <w:rsid w:val="00B71F2B"/>
    <w:rsid w:val="00B722BF"/>
    <w:rsid w:val="00B73DD8"/>
    <w:rsid w:val="00B7619E"/>
    <w:rsid w:val="00B76C89"/>
    <w:rsid w:val="00B806C8"/>
    <w:rsid w:val="00B80FB6"/>
    <w:rsid w:val="00B81A50"/>
    <w:rsid w:val="00B90D77"/>
    <w:rsid w:val="00B91C18"/>
    <w:rsid w:val="00BA6BF1"/>
    <w:rsid w:val="00BA6E84"/>
    <w:rsid w:val="00BB1DA8"/>
    <w:rsid w:val="00BB3DDB"/>
    <w:rsid w:val="00BB61C0"/>
    <w:rsid w:val="00BB74C0"/>
    <w:rsid w:val="00BC48FC"/>
    <w:rsid w:val="00BD0B32"/>
    <w:rsid w:val="00BD14A2"/>
    <w:rsid w:val="00BD1E22"/>
    <w:rsid w:val="00BD4767"/>
    <w:rsid w:val="00BD79D0"/>
    <w:rsid w:val="00BE0FA0"/>
    <w:rsid w:val="00BE2D34"/>
    <w:rsid w:val="00BE364D"/>
    <w:rsid w:val="00BE4E3B"/>
    <w:rsid w:val="00BE5372"/>
    <w:rsid w:val="00BF11E9"/>
    <w:rsid w:val="00BF2F00"/>
    <w:rsid w:val="00BF4675"/>
    <w:rsid w:val="00BF6179"/>
    <w:rsid w:val="00BF61D1"/>
    <w:rsid w:val="00C064B2"/>
    <w:rsid w:val="00C067FD"/>
    <w:rsid w:val="00C11BC4"/>
    <w:rsid w:val="00C212B3"/>
    <w:rsid w:val="00C220FA"/>
    <w:rsid w:val="00C27363"/>
    <w:rsid w:val="00C33A6D"/>
    <w:rsid w:val="00C415BE"/>
    <w:rsid w:val="00C426F7"/>
    <w:rsid w:val="00C50184"/>
    <w:rsid w:val="00C547EB"/>
    <w:rsid w:val="00C57CB5"/>
    <w:rsid w:val="00C61291"/>
    <w:rsid w:val="00C64AE1"/>
    <w:rsid w:val="00C65EAF"/>
    <w:rsid w:val="00C66DCB"/>
    <w:rsid w:val="00C7266E"/>
    <w:rsid w:val="00C73B3B"/>
    <w:rsid w:val="00C76FDA"/>
    <w:rsid w:val="00C80C60"/>
    <w:rsid w:val="00C80CCD"/>
    <w:rsid w:val="00C8168E"/>
    <w:rsid w:val="00C86E44"/>
    <w:rsid w:val="00C949BA"/>
    <w:rsid w:val="00C960B1"/>
    <w:rsid w:val="00C97AAF"/>
    <w:rsid w:val="00CA51E1"/>
    <w:rsid w:val="00CA6129"/>
    <w:rsid w:val="00CC41E5"/>
    <w:rsid w:val="00CD2457"/>
    <w:rsid w:val="00CD2BBB"/>
    <w:rsid w:val="00CD2DBB"/>
    <w:rsid w:val="00CD42A4"/>
    <w:rsid w:val="00CD4A21"/>
    <w:rsid w:val="00CE023B"/>
    <w:rsid w:val="00CE7EFD"/>
    <w:rsid w:val="00CF17E4"/>
    <w:rsid w:val="00D12975"/>
    <w:rsid w:val="00D16CA4"/>
    <w:rsid w:val="00D22ACF"/>
    <w:rsid w:val="00D25657"/>
    <w:rsid w:val="00D31DE5"/>
    <w:rsid w:val="00D43031"/>
    <w:rsid w:val="00D4529B"/>
    <w:rsid w:val="00D534FF"/>
    <w:rsid w:val="00D575C0"/>
    <w:rsid w:val="00D60BBE"/>
    <w:rsid w:val="00D60BC7"/>
    <w:rsid w:val="00D6292E"/>
    <w:rsid w:val="00D63E3E"/>
    <w:rsid w:val="00D65E31"/>
    <w:rsid w:val="00D769BA"/>
    <w:rsid w:val="00D8224A"/>
    <w:rsid w:val="00D85F04"/>
    <w:rsid w:val="00D85F7E"/>
    <w:rsid w:val="00D93224"/>
    <w:rsid w:val="00D93E95"/>
    <w:rsid w:val="00D96C65"/>
    <w:rsid w:val="00DA0D36"/>
    <w:rsid w:val="00DA3223"/>
    <w:rsid w:val="00DA6001"/>
    <w:rsid w:val="00DA6688"/>
    <w:rsid w:val="00DB47D2"/>
    <w:rsid w:val="00DB4DD0"/>
    <w:rsid w:val="00DC10A7"/>
    <w:rsid w:val="00DC3834"/>
    <w:rsid w:val="00DC5391"/>
    <w:rsid w:val="00DC5EAB"/>
    <w:rsid w:val="00DD0C34"/>
    <w:rsid w:val="00DD2C63"/>
    <w:rsid w:val="00DD321B"/>
    <w:rsid w:val="00DD4B81"/>
    <w:rsid w:val="00DD5644"/>
    <w:rsid w:val="00DD645E"/>
    <w:rsid w:val="00DE1DF3"/>
    <w:rsid w:val="00DE65D8"/>
    <w:rsid w:val="00DF07DE"/>
    <w:rsid w:val="00DF666E"/>
    <w:rsid w:val="00E004CC"/>
    <w:rsid w:val="00E01E9C"/>
    <w:rsid w:val="00E04261"/>
    <w:rsid w:val="00E11B13"/>
    <w:rsid w:val="00E1248F"/>
    <w:rsid w:val="00E132EE"/>
    <w:rsid w:val="00E2111F"/>
    <w:rsid w:val="00E237B9"/>
    <w:rsid w:val="00E25475"/>
    <w:rsid w:val="00E2579E"/>
    <w:rsid w:val="00E2641A"/>
    <w:rsid w:val="00E3549E"/>
    <w:rsid w:val="00E40AC0"/>
    <w:rsid w:val="00E4161C"/>
    <w:rsid w:val="00E422CF"/>
    <w:rsid w:val="00E43F31"/>
    <w:rsid w:val="00E4496D"/>
    <w:rsid w:val="00E54851"/>
    <w:rsid w:val="00E61184"/>
    <w:rsid w:val="00E63326"/>
    <w:rsid w:val="00E66279"/>
    <w:rsid w:val="00E67A5D"/>
    <w:rsid w:val="00E7008C"/>
    <w:rsid w:val="00E741C8"/>
    <w:rsid w:val="00E74477"/>
    <w:rsid w:val="00E86F30"/>
    <w:rsid w:val="00E94C2B"/>
    <w:rsid w:val="00E95957"/>
    <w:rsid w:val="00E96A39"/>
    <w:rsid w:val="00EA19E3"/>
    <w:rsid w:val="00EA573E"/>
    <w:rsid w:val="00EB0E75"/>
    <w:rsid w:val="00EB16D3"/>
    <w:rsid w:val="00EB21F1"/>
    <w:rsid w:val="00EB5415"/>
    <w:rsid w:val="00EC02DD"/>
    <w:rsid w:val="00EC444C"/>
    <w:rsid w:val="00EC48F6"/>
    <w:rsid w:val="00ED3A47"/>
    <w:rsid w:val="00EE1C6E"/>
    <w:rsid w:val="00EE6893"/>
    <w:rsid w:val="00EE69D7"/>
    <w:rsid w:val="00EE77C1"/>
    <w:rsid w:val="00EF0E14"/>
    <w:rsid w:val="00EF25D3"/>
    <w:rsid w:val="00F16293"/>
    <w:rsid w:val="00F26F9C"/>
    <w:rsid w:val="00F31405"/>
    <w:rsid w:val="00F316B1"/>
    <w:rsid w:val="00F33798"/>
    <w:rsid w:val="00F33C07"/>
    <w:rsid w:val="00F33CAB"/>
    <w:rsid w:val="00F42685"/>
    <w:rsid w:val="00F42EE9"/>
    <w:rsid w:val="00F503AD"/>
    <w:rsid w:val="00F52173"/>
    <w:rsid w:val="00F53EC0"/>
    <w:rsid w:val="00F54A8D"/>
    <w:rsid w:val="00F56516"/>
    <w:rsid w:val="00F6097B"/>
    <w:rsid w:val="00F651C7"/>
    <w:rsid w:val="00F66F78"/>
    <w:rsid w:val="00F71AA1"/>
    <w:rsid w:val="00F728E0"/>
    <w:rsid w:val="00F769BE"/>
    <w:rsid w:val="00F82E34"/>
    <w:rsid w:val="00F82E84"/>
    <w:rsid w:val="00F83C11"/>
    <w:rsid w:val="00F85645"/>
    <w:rsid w:val="00F86476"/>
    <w:rsid w:val="00F94B72"/>
    <w:rsid w:val="00F969D9"/>
    <w:rsid w:val="00FA0A1B"/>
    <w:rsid w:val="00FA59DA"/>
    <w:rsid w:val="00FB2CC6"/>
    <w:rsid w:val="00FB2F05"/>
    <w:rsid w:val="00FB2FFD"/>
    <w:rsid w:val="00FB6436"/>
    <w:rsid w:val="00FC741E"/>
    <w:rsid w:val="00FD30C6"/>
    <w:rsid w:val="00FE40CD"/>
    <w:rsid w:val="00FE5DDF"/>
    <w:rsid w:val="00FE66A8"/>
    <w:rsid w:val="00FF3976"/>
    <w:rsid w:val="00FF4BF1"/>
    <w:rsid w:val="00FF5173"/>
    <w:rsid w:val="00FF5849"/>
    <w:rsid w:val="00FF5AA8"/>
    <w:rsid w:val="00FF5CC9"/>
    <w:rsid w:val="17BEF3BA"/>
    <w:rsid w:val="1F97104C"/>
    <w:rsid w:val="1FE697C6"/>
    <w:rsid w:val="5FF68BE3"/>
    <w:rsid w:val="7B7F2A96"/>
    <w:rsid w:val="7BFEAB44"/>
    <w:rsid w:val="98DFE4B0"/>
    <w:rsid w:val="9FFF9392"/>
    <w:rsid w:val="BFFFAECA"/>
    <w:rsid w:val="CEFF0B6D"/>
    <w:rsid w:val="DD6F9D3A"/>
    <w:rsid w:val="E1FFA2E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uk-UA"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8"/>
    <w:qFormat/>
    <w:uiPriority w:val="0"/>
    <w:pPr>
      <w:spacing w:after="120" w:line="276" w:lineRule="auto"/>
    </w:pPr>
    <w:rPr>
      <w:rFonts w:ascii="Calibri" w:hAnsi="Calibri"/>
      <w:sz w:val="20"/>
      <w:szCs w:val="20"/>
    </w:rPr>
  </w:style>
  <w:style w:type="paragraph" w:styleId="5">
    <w:name w:val="footer"/>
    <w:basedOn w:val="1"/>
    <w:link w:val="19"/>
    <w:unhideWhenUsed/>
    <w:qFormat/>
    <w:uiPriority w:val="99"/>
    <w:pPr>
      <w:tabs>
        <w:tab w:val="center" w:pos="4677"/>
        <w:tab w:val="right" w:pos="9355"/>
      </w:tabs>
    </w:pPr>
  </w:style>
  <w:style w:type="paragraph" w:styleId="6">
    <w:name w:val="header"/>
    <w:basedOn w:val="1"/>
    <w:link w:val="18"/>
    <w:unhideWhenUsed/>
    <w:qFormat/>
    <w:uiPriority w:val="99"/>
    <w:pPr>
      <w:tabs>
        <w:tab w:val="center" w:pos="4677"/>
        <w:tab w:val="right" w:pos="9355"/>
      </w:tabs>
    </w:pPr>
  </w:style>
  <w:style w:type="paragraph" w:styleId="7">
    <w:name w:val="HTML Preformatted"/>
    <w:basedOn w:val="1"/>
    <w:link w:val="2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ahoma"/>
      <w:color w:val="00000A"/>
      <w:sz w:val="18"/>
      <w:szCs w:val="20"/>
      <w:lang w:eastAsia="zh-CN"/>
    </w:rPr>
  </w:style>
  <w:style w:type="character" w:styleId="8">
    <w:name w:val="Hyperlink"/>
    <w:basedOn w:val="2"/>
    <w:unhideWhenUsed/>
    <w:qFormat/>
    <w:uiPriority w:val="99"/>
    <w:rPr>
      <w:color w:val="0000FF"/>
      <w:u w:val="single"/>
    </w:rPr>
  </w:style>
  <w:style w:type="paragraph" w:styleId="9">
    <w:name w:val="Normal (Web)"/>
    <w:basedOn w:val="1"/>
    <w:link w:val="37"/>
    <w:qFormat/>
    <w:uiPriority w:val="0"/>
    <w:pPr>
      <w:spacing w:beforeAutospacing="1" w:afterAutospacing="1"/>
    </w:pPr>
    <w:rPr>
      <w:color w:val="00000A"/>
      <w:lang w:bidi="hi-IN"/>
    </w:rPr>
  </w:style>
  <w:style w:type="table" w:styleId="10">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Title"/>
    <w:basedOn w:val="1"/>
    <w:next w:val="4"/>
    <w:qFormat/>
    <w:uiPriority w:val="0"/>
    <w:pPr>
      <w:keepNext/>
      <w:spacing w:before="240" w:after="120"/>
    </w:pPr>
    <w:rPr>
      <w:rFonts w:ascii="Liberation Sans" w:hAnsi="Liberation Sans" w:eastAsia="Calibri" w:cs="Arial"/>
      <w:color w:val="00000A"/>
      <w:sz w:val="28"/>
      <w:szCs w:val="28"/>
    </w:rPr>
  </w:style>
  <w:style w:type="paragraph" w:customStyle="1" w:styleId="12">
    <w:name w:val="Без интервала4"/>
    <w:qFormat/>
    <w:uiPriority w:val="0"/>
    <w:pPr>
      <w:suppressAutoHyphens/>
      <w:spacing w:line="100" w:lineRule="atLeast"/>
    </w:pPr>
    <w:rPr>
      <w:rFonts w:ascii="Calibri" w:hAnsi="Calibri" w:eastAsia="Calibri" w:cs="Times New Roman"/>
      <w:sz w:val="22"/>
      <w:szCs w:val="22"/>
      <w:lang w:val="uk-UA" w:eastAsia="ar-SA" w:bidi="ar-SA"/>
    </w:rPr>
  </w:style>
  <w:style w:type="paragraph" w:styleId="13">
    <w:name w:val="No Spacing"/>
    <w:link w:val="14"/>
    <w:qFormat/>
    <w:uiPriority w:val="1"/>
    <w:rPr>
      <w:rFonts w:ascii="Calibri" w:hAnsi="Calibri" w:eastAsia="Tahoma" w:cs="Times New Roman"/>
      <w:color w:val="00000A"/>
      <w:sz w:val="22"/>
      <w:szCs w:val="22"/>
      <w:lang w:val="uk-UA" w:eastAsia="en-US" w:bidi="ar-SA"/>
    </w:rPr>
  </w:style>
  <w:style w:type="character" w:customStyle="1" w:styleId="14">
    <w:name w:val="Без интервала Знак"/>
    <w:link w:val="13"/>
    <w:qFormat/>
    <w:locked/>
    <w:uiPriority w:val="1"/>
    <w:rPr>
      <w:rFonts w:ascii="Calibri" w:hAnsi="Calibri" w:eastAsia="Tahoma" w:cs="Times New Roman"/>
      <w:color w:val="00000A"/>
      <w:lang w:val="uk-UA"/>
    </w:rPr>
  </w:style>
  <w:style w:type="paragraph" w:styleId="15">
    <w:name w:val="List Paragraph"/>
    <w:basedOn w:val="1"/>
    <w:link w:val="16"/>
    <w:qFormat/>
    <w:uiPriority w:val="34"/>
    <w:pPr>
      <w:ind w:left="720"/>
      <w:contextualSpacing/>
    </w:pPr>
  </w:style>
  <w:style w:type="character" w:customStyle="1" w:styleId="16">
    <w:name w:val="Абзац списка Знак"/>
    <w:link w:val="15"/>
    <w:qFormat/>
    <w:locked/>
    <w:uiPriority w:val="72"/>
    <w:rPr>
      <w:rFonts w:ascii="Times New Roman" w:hAnsi="Times New Roman" w:eastAsia="Times New Roman" w:cs="Times New Roman"/>
      <w:sz w:val="24"/>
      <w:szCs w:val="24"/>
      <w:lang w:val="uk-UA" w:eastAsia="ru-RU"/>
    </w:rPr>
  </w:style>
  <w:style w:type="character" w:customStyle="1" w:styleId="17">
    <w:name w:val="rvts23"/>
    <w:basedOn w:val="2"/>
    <w:qFormat/>
    <w:uiPriority w:val="0"/>
  </w:style>
  <w:style w:type="character" w:customStyle="1" w:styleId="18">
    <w:name w:val="Верхний колонтитул Знак"/>
    <w:basedOn w:val="2"/>
    <w:link w:val="6"/>
    <w:qFormat/>
    <w:uiPriority w:val="99"/>
    <w:rPr>
      <w:rFonts w:ascii="Times New Roman" w:hAnsi="Times New Roman" w:eastAsia="Times New Roman" w:cs="Times New Roman"/>
      <w:sz w:val="24"/>
      <w:szCs w:val="24"/>
      <w:lang w:val="uk-UA" w:eastAsia="ru-RU"/>
    </w:rPr>
  </w:style>
  <w:style w:type="character" w:customStyle="1" w:styleId="19">
    <w:name w:val="Нижний колонтитул Знак"/>
    <w:basedOn w:val="2"/>
    <w:link w:val="5"/>
    <w:qFormat/>
    <w:uiPriority w:val="99"/>
    <w:rPr>
      <w:rFonts w:ascii="Times New Roman" w:hAnsi="Times New Roman" w:eastAsia="Times New Roman" w:cs="Times New Roman"/>
      <w:sz w:val="24"/>
      <w:szCs w:val="24"/>
      <w:lang w:val="uk-UA" w:eastAsia="ru-RU"/>
    </w:rPr>
  </w:style>
  <w:style w:type="paragraph" w:customStyle="1" w:styleId="20">
    <w:name w:val="LO-normal"/>
    <w:qFormat/>
    <w:uiPriority w:val="99"/>
    <w:pPr>
      <w:spacing w:line="276" w:lineRule="auto"/>
    </w:pPr>
    <w:rPr>
      <w:rFonts w:ascii="Arial" w:hAnsi="Arial" w:eastAsia="Tahoma" w:cs="Arial"/>
      <w:color w:val="000000"/>
      <w:sz w:val="22"/>
      <w:szCs w:val="22"/>
      <w:lang w:val="ru-RU" w:eastAsia="zh-CN" w:bidi="ar-SA"/>
    </w:rPr>
  </w:style>
  <w:style w:type="character" w:customStyle="1" w:styleId="21">
    <w:name w:val="Стандартный HTML Знак1"/>
    <w:link w:val="7"/>
    <w:qFormat/>
    <w:locked/>
    <w:uiPriority w:val="0"/>
    <w:rPr>
      <w:rFonts w:ascii="Courier New" w:hAnsi="Courier New" w:eastAsia="Tahoma" w:cs="Times New Roman"/>
      <w:color w:val="00000A"/>
      <w:sz w:val="18"/>
      <w:szCs w:val="20"/>
      <w:lang w:val="uk-UA" w:eastAsia="zh-CN"/>
    </w:rPr>
  </w:style>
  <w:style w:type="character" w:customStyle="1" w:styleId="22">
    <w:name w:val="Стандартный HTML Знак"/>
    <w:basedOn w:val="2"/>
    <w:semiHidden/>
    <w:qFormat/>
    <w:uiPriority w:val="99"/>
    <w:rPr>
      <w:rFonts w:ascii="Consolas" w:hAnsi="Consolas" w:eastAsia="Times New Roman" w:cs="Times New Roman"/>
      <w:sz w:val="20"/>
      <w:szCs w:val="20"/>
      <w:lang w:val="uk-UA" w:eastAsia="ru-RU"/>
    </w:rPr>
  </w:style>
  <w:style w:type="paragraph" w:customStyle="1" w:styleId="23">
    <w:name w:val="xfmc1"/>
    <w:basedOn w:val="1"/>
    <w:qFormat/>
    <w:uiPriority w:val="0"/>
    <w:pPr>
      <w:spacing w:before="100" w:beforeAutospacing="1" w:after="100" w:afterAutospacing="1"/>
    </w:pPr>
    <w:rPr>
      <w:lang w:eastAsia="uk-UA"/>
    </w:rPr>
  </w:style>
  <w:style w:type="paragraph" w:customStyle="1" w:styleId="24">
    <w:name w:val="Абзац списка1"/>
    <w:basedOn w:val="1"/>
    <w:qFormat/>
    <w:uiPriority w:val="0"/>
    <w:pPr>
      <w:ind w:left="720"/>
      <w:contextualSpacing/>
    </w:pPr>
    <w:rPr>
      <w:lang w:val="ru-RU"/>
    </w:rPr>
  </w:style>
  <w:style w:type="character" w:customStyle="1" w:styleId="25">
    <w:name w:val="Font Style37"/>
    <w:qFormat/>
    <w:uiPriority w:val="99"/>
    <w:rPr>
      <w:rFonts w:ascii="Times New Roman" w:hAnsi="Times New Roman"/>
      <w:i/>
      <w:sz w:val="22"/>
    </w:rPr>
  </w:style>
  <w:style w:type="paragraph" w:customStyle="1" w:styleId="26">
    <w:name w:val="LO-normal1"/>
    <w:qFormat/>
    <w:uiPriority w:val="99"/>
    <w:pPr>
      <w:spacing w:line="276" w:lineRule="auto"/>
    </w:pPr>
    <w:rPr>
      <w:rFonts w:ascii="Arial" w:hAnsi="Arial" w:eastAsia="Times New Roman" w:cs="Arial"/>
      <w:color w:val="000000"/>
      <w:sz w:val="22"/>
      <w:szCs w:val="22"/>
      <w:lang w:val="ru-RU" w:eastAsia="ru-RU" w:bidi="ar-SA"/>
    </w:rPr>
  </w:style>
  <w:style w:type="paragraph" w:customStyle="1" w:styleId="27">
    <w:name w:val="Обычный (веб)1"/>
    <w:basedOn w:val="1"/>
    <w:qFormat/>
    <w:uiPriority w:val="99"/>
    <w:pPr>
      <w:suppressAutoHyphens/>
      <w:spacing w:before="280" w:after="280"/>
    </w:pPr>
    <w:rPr>
      <w:lang w:val="ru-RU" w:eastAsia="ar-SA"/>
    </w:rPr>
  </w:style>
  <w:style w:type="character" w:customStyle="1" w:styleId="28">
    <w:name w:val="Основной текст Знак"/>
    <w:basedOn w:val="2"/>
    <w:link w:val="4"/>
    <w:qFormat/>
    <w:uiPriority w:val="0"/>
    <w:rPr>
      <w:rFonts w:ascii="Calibri" w:hAnsi="Calibri" w:eastAsia="Times New Roman" w:cs="Times New Roman"/>
      <w:sz w:val="20"/>
      <w:szCs w:val="20"/>
      <w:lang w:val="uk-UA" w:eastAsia="ru-RU"/>
    </w:rPr>
  </w:style>
  <w:style w:type="character" w:customStyle="1" w:styleId="29">
    <w:name w:val="rvts0"/>
    <w:qFormat/>
    <w:uiPriority w:val="0"/>
    <w:rPr>
      <w:rFonts w:hint="default" w:ascii="Times New Roman" w:hAnsi="Times New Roman" w:cs="Times New Roman"/>
    </w:rPr>
  </w:style>
  <w:style w:type="paragraph" w:customStyle="1" w:styleId="30">
    <w:name w:val="Обычный1"/>
    <w:qFormat/>
    <w:uiPriority w:val="0"/>
    <w:pPr>
      <w:spacing w:line="276" w:lineRule="auto"/>
    </w:pPr>
    <w:rPr>
      <w:rFonts w:ascii="Arial" w:hAnsi="Arial" w:eastAsia="Times New Roman" w:cs="Arial"/>
      <w:color w:val="000000"/>
      <w:sz w:val="22"/>
      <w:szCs w:val="22"/>
      <w:lang w:val="ru-RU" w:eastAsia="ru-RU" w:bidi="ar-SA"/>
    </w:rPr>
  </w:style>
  <w:style w:type="paragraph" w:customStyle="1" w:styleId="31">
    <w:name w:val="Обычный11"/>
    <w:qFormat/>
    <w:uiPriority w:val="0"/>
    <w:pPr>
      <w:spacing w:line="276" w:lineRule="auto"/>
    </w:pPr>
    <w:rPr>
      <w:rFonts w:ascii="Arial" w:hAnsi="Arial" w:eastAsia="Times New Roman" w:cs="Arial"/>
      <w:color w:val="000000"/>
      <w:sz w:val="22"/>
      <w:szCs w:val="22"/>
      <w:lang w:val="ru-RU" w:eastAsia="ru-RU" w:bidi="ar-SA"/>
    </w:rPr>
  </w:style>
  <w:style w:type="paragraph" w:customStyle="1" w:styleId="32">
    <w:name w:val="Основний текст"/>
    <w:basedOn w:val="1"/>
    <w:qFormat/>
    <w:uiPriority w:val="0"/>
    <w:pPr>
      <w:spacing w:after="140" w:line="288" w:lineRule="auto"/>
    </w:pPr>
    <w:rPr>
      <w:rFonts w:ascii="Liberation Serif" w:hAnsi="Liberation Serif" w:cs="Lohit Devanagari"/>
      <w:color w:val="00000A"/>
      <w:lang w:eastAsia="zh-CN" w:bidi="hi-IN"/>
    </w:rPr>
  </w:style>
  <w:style w:type="character" w:customStyle="1" w:styleId="33">
    <w:name w:val="Неразрешенное упоминание1"/>
    <w:basedOn w:val="2"/>
    <w:semiHidden/>
    <w:unhideWhenUsed/>
    <w:qFormat/>
    <w:uiPriority w:val="99"/>
    <w:rPr>
      <w:color w:val="605E5C"/>
      <w:shd w:val="clear" w:color="auto" w:fill="E1DFDD"/>
    </w:rPr>
  </w:style>
  <w:style w:type="character" w:customStyle="1" w:styleId="34">
    <w:name w:val="Неразрешенное упоминание2"/>
    <w:basedOn w:val="2"/>
    <w:semiHidden/>
    <w:unhideWhenUsed/>
    <w:qFormat/>
    <w:uiPriority w:val="99"/>
    <w:rPr>
      <w:color w:val="605E5C"/>
      <w:shd w:val="clear" w:color="auto" w:fill="E1DFDD"/>
    </w:rPr>
  </w:style>
  <w:style w:type="paragraph" w:customStyle="1" w:styleId="35">
    <w:name w:val="Без интервала1"/>
    <w:qFormat/>
    <w:uiPriority w:val="0"/>
    <w:rPr>
      <w:rFonts w:ascii="Calibri" w:hAnsi="Calibri" w:eastAsia="Times New Roman" w:cs="Times New Roman"/>
      <w:sz w:val="22"/>
      <w:szCs w:val="22"/>
      <w:lang w:val="ru-RU" w:eastAsia="en-US" w:bidi="ar-SA"/>
    </w:rPr>
  </w:style>
  <w:style w:type="paragraph" w:customStyle="1" w:styleId="36">
    <w:name w:val="Default"/>
    <w:qFormat/>
    <w:uiPriority w:val="0"/>
    <w:pPr>
      <w:autoSpaceDE w:val="0"/>
      <w:autoSpaceDN w:val="0"/>
      <w:adjustRightInd w:val="0"/>
    </w:pPr>
    <w:rPr>
      <w:rFonts w:ascii="Times New Roman" w:hAnsi="Times New Roman" w:eastAsia="Calibri" w:cs="Times New Roman"/>
      <w:color w:val="000000"/>
      <w:sz w:val="24"/>
      <w:szCs w:val="24"/>
      <w:lang w:val="ru-RU" w:eastAsia="ru-RU" w:bidi="ar-SA"/>
    </w:rPr>
  </w:style>
  <w:style w:type="character" w:customStyle="1" w:styleId="37">
    <w:name w:val="Обычный (веб) Знак"/>
    <w:link w:val="9"/>
    <w:qFormat/>
    <w:locked/>
    <w:uiPriority w:val="0"/>
    <w:rPr>
      <w:rFonts w:ascii="Times New Roman" w:hAnsi="Times New Roman" w:eastAsia="Times New Roman" w:cs="Times New Roman"/>
      <w:color w:val="00000A"/>
      <w:sz w:val="24"/>
      <w:szCs w:val="24"/>
      <w:lang w:val="uk-UA" w:eastAsia="ru-RU" w:bidi="hi-IN"/>
    </w:rPr>
  </w:style>
  <w:style w:type="paragraph" w:customStyle="1" w:styleId="38">
    <w:name w:val="Обычный (веб) Знак Знак1"/>
    <w:basedOn w:val="1"/>
    <w:next w:val="11"/>
    <w:qFormat/>
    <w:uiPriority w:val="99"/>
    <w:pPr>
      <w:widowControl w:val="0"/>
      <w:ind w:left="320"/>
      <w:jc w:val="center"/>
    </w:pPr>
    <w:rPr>
      <w:rFonts w:ascii="Arial" w:hAnsi="Arial"/>
      <w:b/>
      <w:snapToGrid w:val="0"/>
      <w:sz w:val="18"/>
      <w:szCs w:val="20"/>
      <w:lang w:val="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Reanimator Extreme Edition</Company>
  <Pages>7</Pages>
  <Words>10922</Words>
  <Characters>6226</Characters>
  <Lines>51</Lines>
  <Paragraphs>34</Paragraphs>
  <TotalTime>3</TotalTime>
  <ScaleCrop>false</ScaleCrop>
  <LinksUpToDate>false</LinksUpToDate>
  <CharactersWithSpaces>17114</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2024-03-28T02:04:00Z</dcterms:created>
  <dc:creator>win10</dc:creator>
  <cp:lastModifiedBy>U</cp:lastModifiedBy>
  <cp:lastPrinted>2022-10-29T18:53:00Z</cp:lastPrinted>
  <dcterms:modified xsi:type="dcterms:W3CDTF">2024-03-28T15:58:13Z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