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213" w:rsidRDefault="00DF3213" w:rsidP="00DF3213">
      <w:pPr>
        <w:jc w:val="right"/>
        <w:rPr>
          <w:bCs/>
          <w:sz w:val="24"/>
          <w:szCs w:val="24"/>
          <w:lang w:val="uk-UA"/>
        </w:rPr>
      </w:pPr>
      <w:r>
        <w:rPr>
          <w:bCs/>
          <w:sz w:val="24"/>
          <w:szCs w:val="24"/>
          <w:lang w:val="uk-UA"/>
        </w:rPr>
        <w:t>Додаток 4</w:t>
      </w:r>
    </w:p>
    <w:p w:rsidR="000E3424" w:rsidRDefault="000E3424" w:rsidP="000E3424">
      <w:pPr>
        <w:jc w:val="center"/>
        <w:rPr>
          <w:bCs/>
          <w:sz w:val="24"/>
          <w:szCs w:val="24"/>
          <w:lang w:val="uk-UA"/>
        </w:rPr>
      </w:pPr>
      <w:r>
        <w:rPr>
          <w:bCs/>
          <w:sz w:val="24"/>
          <w:szCs w:val="24"/>
          <w:lang w:val="uk-UA"/>
        </w:rPr>
        <w:t xml:space="preserve">ІНФОРМАЦІЯ ПРО ТЕХНІЧНІ, ЯКІСНІ ТА КІЛЬКІСНІ </w:t>
      </w:r>
    </w:p>
    <w:p w:rsidR="000E3424" w:rsidRDefault="000E3424" w:rsidP="000E3424">
      <w:pPr>
        <w:jc w:val="center"/>
        <w:rPr>
          <w:bCs/>
          <w:sz w:val="24"/>
          <w:szCs w:val="24"/>
          <w:lang w:val="uk-UA"/>
        </w:rPr>
      </w:pPr>
      <w:r>
        <w:rPr>
          <w:bCs/>
          <w:sz w:val="24"/>
          <w:szCs w:val="24"/>
          <w:lang w:val="uk-UA"/>
        </w:rPr>
        <w:t>ХАРАКТЕРИСТИКИ ПРЕДМЕТА ЗАКУПІВЛІ</w:t>
      </w:r>
    </w:p>
    <w:p w:rsidR="000E3424" w:rsidRDefault="000E3424" w:rsidP="000E3424">
      <w:pPr>
        <w:jc w:val="center"/>
        <w:rPr>
          <w:b/>
          <w:bCs/>
          <w:sz w:val="24"/>
          <w:szCs w:val="24"/>
          <w:lang w:val="uk-UA"/>
        </w:rPr>
      </w:pPr>
    </w:p>
    <w:p w:rsidR="000E3424" w:rsidRDefault="000E3424" w:rsidP="000E3424">
      <w:pPr>
        <w:pStyle w:val="21"/>
        <w:spacing w:after="0" w:line="240" w:lineRule="auto"/>
        <w:ind w:left="0" w:firstLine="357"/>
        <w:jc w:val="both"/>
        <w:rPr>
          <w:sz w:val="24"/>
          <w:szCs w:val="24"/>
          <w:lang w:val="uk-UA"/>
        </w:rPr>
      </w:pPr>
      <w:r>
        <w:rPr>
          <w:sz w:val="24"/>
          <w:szCs w:val="24"/>
          <w:lang w:val="uk-UA"/>
        </w:rPr>
        <w:t>Замовником зазначаються вимоги до предмета закупівлі згідно з ч</w:t>
      </w:r>
      <w:r w:rsidR="005C0A93">
        <w:rPr>
          <w:sz w:val="24"/>
          <w:szCs w:val="24"/>
          <w:lang w:val="uk-UA"/>
        </w:rPr>
        <w:t>астиною другою статті 22 Закону:</w:t>
      </w:r>
    </w:p>
    <w:p w:rsidR="00372E84" w:rsidRPr="005C0A93" w:rsidRDefault="00372E84" w:rsidP="005C0A93">
      <w:pPr>
        <w:pStyle w:val="a3"/>
        <w:numPr>
          <w:ilvl w:val="0"/>
          <w:numId w:val="5"/>
        </w:numPr>
        <w:tabs>
          <w:tab w:val="left" w:pos="851"/>
          <w:tab w:val="left" w:pos="1134"/>
        </w:tabs>
        <w:autoSpaceDE w:val="0"/>
        <w:ind w:left="0" w:firstLine="709"/>
        <w:jc w:val="both"/>
        <w:rPr>
          <w:sz w:val="24"/>
          <w:szCs w:val="24"/>
          <w:lang w:val="uk-UA"/>
        </w:rPr>
      </w:pPr>
      <w:r w:rsidRPr="005C0A93">
        <w:rPr>
          <w:rFonts w:cs="Liberation Serif;Times New Roma"/>
          <w:bCs/>
          <w:sz w:val="24"/>
          <w:szCs w:val="24"/>
          <w:lang w:val="uk-UA"/>
        </w:rPr>
        <w:t>Термін придатності комплектувальних виробів для невиробничого обладнання (кисню медичного газоподібного) повинен складати на момент поставки не менш, як 80% від встановлених інструкцією термінів зберігання</w:t>
      </w:r>
      <w:r w:rsidRPr="005C0A93">
        <w:rPr>
          <w:rFonts w:cs="Liberation Serif;Times New Roma"/>
          <w:smallCaps/>
          <w:sz w:val="24"/>
          <w:szCs w:val="24"/>
          <w:lang w:val="uk-UA"/>
        </w:rPr>
        <w:t>.</w:t>
      </w:r>
    </w:p>
    <w:p w:rsidR="00372E84" w:rsidRDefault="005C0A93" w:rsidP="005C0A93">
      <w:pPr>
        <w:pStyle w:val="a3"/>
        <w:numPr>
          <w:ilvl w:val="0"/>
          <w:numId w:val="5"/>
        </w:numPr>
        <w:tabs>
          <w:tab w:val="left" w:pos="851"/>
          <w:tab w:val="left" w:pos="1134"/>
        </w:tabs>
        <w:autoSpaceDE w:val="0"/>
        <w:ind w:left="0" w:firstLine="709"/>
        <w:jc w:val="both"/>
        <w:rPr>
          <w:sz w:val="24"/>
          <w:szCs w:val="24"/>
          <w:lang w:val="uk-UA"/>
        </w:rPr>
      </w:pPr>
      <w:r w:rsidRPr="005C0A93">
        <w:rPr>
          <w:sz w:val="24"/>
          <w:szCs w:val="24"/>
          <w:lang w:val="uk-UA"/>
        </w:rPr>
        <w:t xml:space="preserve">Наповнення </w:t>
      </w:r>
      <w:r w:rsidRPr="005C0A93">
        <w:rPr>
          <w:rFonts w:cs="Liberation Serif;Times New Roma"/>
          <w:bCs/>
          <w:sz w:val="24"/>
          <w:szCs w:val="24"/>
          <w:lang w:val="uk-UA"/>
        </w:rPr>
        <w:t xml:space="preserve">комплектувальних виробів для невиробничого обладнання (кисню медичного газоподібного) </w:t>
      </w:r>
      <w:r w:rsidRPr="005C0A93">
        <w:rPr>
          <w:sz w:val="24"/>
          <w:szCs w:val="24"/>
          <w:lang w:val="uk-UA"/>
        </w:rPr>
        <w:t xml:space="preserve">повинно проводитись в балони Замовника  об'ємом 40 л (тиск в балонах 147±5 </w:t>
      </w:r>
      <w:proofErr w:type="spellStart"/>
      <w:r w:rsidRPr="005C0A93">
        <w:rPr>
          <w:sz w:val="24"/>
          <w:szCs w:val="24"/>
          <w:lang w:val="uk-UA"/>
        </w:rPr>
        <w:t>кг×с</w:t>
      </w:r>
      <w:proofErr w:type="spellEnd"/>
      <w:r w:rsidRPr="005C0A93">
        <w:rPr>
          <w:sz w:val="24"/>
          <w:szCs w:val="24"/>
          <w:lang w:val="uk-UA"/>
        </w:rPr>
        <w:t>/см</w:t>
      </w:r>
      <w:r w:rsidRPr="005C0A93">
        <w:rPr>
          <w:sz w:val="24"/>
          <w:szCs w:val="24"/>
          <w:vertAlign w:val="superscript"/>
          <w:lang w:val="uk-UA"/>
        </w:rPr>
        <w:t>2</w:t>
      </w:r>
      <w:r w:rsidRPr="005C0A93">
        <w:rPr>
          <w:sz w:val="24"/>
          <w:szCs w:val="24"/>
          <w:lang w:val="uk-UA"/>
        </w:rPr>
        <w:t xml:space="preserve"> (14,7±0,5 МПа) при 20°С, кількість газу в балоні </w:t>
      </w:r>
      <w:r w:rsidRPr="005C0A93">
        <w:rPr>
          <w:rFonts w:cs="Liberation Serif;Times New Roma"/>
          <w:bCs/>
          <w:sz w:val="24"/>
          <w:szCs w:val="24"/>
          <w:lang w:val="uk-UA"/>
        </w:rPr>
        <w:t>не менше</w:t>
      </w:r>
      <w:r w:rsidRPr="005C0A93">
        <w:rPr>
          <w:sz w:val="24"/>
          <w:szCs w:val="24"/>
          <w:lang w:val="uk-UA"/>
        </w:rPr>
        <w:t xml:space="preserve"> 6,3 м</w:t>
      </w:r>
      <w:r w:rsidRPr="005C0A93">
        <w:rPr>
          <w:sz w:val="24"/>
          <w:szCs w:val="24"/>
          <w:vertAlign w:val="superscript"/>
          <w:lang w:val="uk-UA"/>
        </w:rPr>
        <w:t>3</w:t>
      </w:r>
      <w:r w:rsidRPr="005C0A93">
        <w:rPr>
          <w:sz w:val="24"/>
          <w:szCs w:val="24"/>
          <w:lang w:val="uk-UA"/>
        </w:rPr>
        <w:t>).</w:t>
      </w:r>
    </w:p>
    <w:p w:rsidR="005C0A93" w:rsidRPr="005C0A93" w:rsidRDefault="005C0A93" w:rsidP="005C0A93">
      <w:pPr>
        <w:pStyle w:val="a3"/>
        <w:numPr>
          <w:ilvl w:val="0"/>
          <w:numId w:val="5"/>
        </w:numPr>
        <w:tabs>
          <w:tab w:val="left" w:pos="851"/>
          <w:tab w:val="left" w:pos="1134"/>
        </w:tabs>
        <w:autoSpaceDE w:val="0"/>
        <w:ind w:left="0" w:firstLine="709"/>
        <w:jc w:val="both"/>
        <w:rPr>
          <w:sz w:val="24"/>
          <w:szCs w:val="24"/>
          <w:lang w:val="uk-UA"/>
        </w:rPr>
      </w:pPr>
      <w:r w:rsidRPr="00B0311C">
        <w:rPr>
          <w:sz w:val="24"/>
          <w:szCs w:val="24"/>
          <w:lang w:val="uk-UA"/>
        </w:rPr>
        <w:t>Якість поставлен</w:t>
      </w:r>
      <w:r>
        <w:rPr>
          <w:sz w:val="24"/>
          <w:szCs w:val="24"/>
          <w:lang w:val="uk-UA"/>
        </w:rPr>
        <w:t>их</w:t>
      </w:r>
      <w:r w:rsidRPr="00B0311C">
        <w:rPr>
          <w:sz w:val="24"/>
          <w:szCs w:val="24"/>
          <w:lang w:val="uk-UA"/>
        </w:rPr>
        <w:t xml:space="preserve"> </w:t>
      </w:r>
      <w:r>
        <w:rPr>
          <w:rFonts w:cs="Liberation Serif;Times New Roma"/>
          <w:bCs/>
          <w:sz w:val="24"/>
          <w:szCs w:val="24"/>
          <w:lang w:val="uk-UA"/>
        </w:rPr>
        <w:t>к</w:t>
      </w:r>
      <w:r w:rsidRPr="008617E1">
        <w:rPr>
          <w:rFonts w:cs="Liberation Serif;Times New Roma"/>
          <w:bCs/>
          <w:sz w:val="24"/>
          <w:szCs w:val="24"/>
          <w:lang w:val="uk-UA"/>
        </w:rPr>
        <w:t>омплектувальн</w:t>
      </w:r>
      <w:r>
        <w:rPr>
          <w:rFonts w:cs="Liberation Serif;Times New Roma"/>
          <w:bCs/>
          <w:sz w:val="24"/>
          <w:szCs w:val="24"/>
          <w:lang w:val="uk-UA"/>
        </w:rPr>
        <w:t>их</w:t>
      </w:r>
      <w:r w:rsidRPr="008617E1">
        <w:rPr>
          <w:rFonts w:cs="Liberation Serif;Times New Roma"/>
          <w:bCs/>
          <w:sz w:val="24"/>
          <w:szCs w:val="24"/>
          <w:lang w:val="uk-UA"/>
        </w:rPr>
        <w:t xml:space="preserve"> вироб</w:t>
      </w:r>
      <w:r>
        <w:rPr>
          <w:rFonts w:cs="Liberation Serif;Times New Roma"/>
          <w:bCs/>
          <w:sz w:val="24"/>
          <w:szCs w:val="24"/>
          <w:lang w:val="uk-UA"/>
        </w:rPr>
        <w:t>ів</w:t>
      </w:r>
      <w:r w:rsidRPr="008617E1">
        <w:rPr>
          <w:rFonts w:cs="Liberation Serif;Times New Roma"/>
          <w:bCs/>
          <w:sz w:val="24"/>
          <w:szCs w:val="24"/>
          <w:lang w:val="uk-UA"/>
        </w:rPr>
        <w:t xml:space="preserve"> для невиробничого обладнання (кис</w:t>
      </w:r>
      <w:r>
        <w:rPr>
          <w:rFonts w:cs="Liberation Serif;Times New Roma"/>
          <w:bCs/>
          <w:sz w:val="24"/>
          <w:szCs w:val="24"/>
          <w:lang w:val="uk-UA"/>
        </w:rPr>
        <w:t>ню</w:t>
      </w:r>
      <w:r w:rsidRPr="008617E1">
        <w:rPr>
          <w:rFonts w:cs="Liberation Serif;Times New Roma"/>
          <w:bCs/>
          <w:sz w:val="24"/>
          <w:szCs w:val="24"/>
          <w:lang w:val="uk-UA"/>
        </w:rPr>
        <w:t xml:space="preserve"> медичн</w:t>
      </w:r>
      <w:r>
        <w:rPr>
          <w:rFonts w:cs="Liberation Serif;Times New Roma"/>
          <w:bCs/>
          <w:sz w:val="24"/>
          <w:szCs w:val="24"/>
          <w:lang w:val="uk-UA"/>
        </w:rPr>
        <w:t>ого</w:t>
      </w:r>
      <w:r w:rsidRPr="008617E1">
        <w:rPr>
          <w:rFonts w:cs="Liberation Serif;Times New Roma"/>
          <w:bCs/>
          <w:sz w:val="24"/>
          <w:szCs w:val="24"/>
          <w:lang w:val="uk-UA"/>
        </w:rPr>
        <w:t xml:space="preserve"> газоподібн</w:t>
      </w:r>
      <w:r>
        <w:rPr>
          <w:rFonts w:cs="Liberation Serif;Times New Roma"/>
          <w:bCs/>
          <w:sz w:val="24"/>
          <w:szCs w:val="24"/>
          <w:lang w:val="uk-UA"/>
        </w:rPr>
        <w:t>ого</w:t>
      </w:r>
      <w:r w:rsidRPr="008617E1">
        <w:rPr>
          <w:rFonts w:cs="Liberation Serif;Times New Roma"/>
          <w:bCs/>
          <w:sz w:val="24"/>
          <w:szCs w:val="24"/>
          <w:lang w:val="uk-UA"/>
        </w:rPr>
        <w:t>)</w:t>
      </w:r>
      <w:r>
        <w:rPr>
          <w:rFonts w:cs="Liberation Serif;Times New Roma"/>
          <w:bCs/>
          <w:sz w:val="24"/>
          <w:szCs w:val="24"/>
          <w:lang w:val="uk-UA"/>
        </w:rPr>
        <w:t xml:space="preserve"> </w:t>
      </w:r>
      <w:r w:rsidRPr="00B0311C">
        <w:rPr>
          <w:sz w:val="24"/>
          <w:szCs w:val="24"/>
          <w:lang w:val="uk-UA"/>
        </w:rPr>
        <w:t>повинна відповідати стандартам України, діючим на час подання тендерної пропозиції та відповідати наступним параметрам:</w:t>
      </w:r>
    </w:p>
    <w:tbl>
      <w:tblPr>
        <w:tblW w:w="9238" w:type="dxa"/>
        <w:tblInd w:w="108" w:type="dxa"/>
        <w:tblLook w:val="04A0" w:firstRow="1" w:lastRow="0" w:firstColumn="1" w:lastColumn="0" w:noHBand="0" w:noVBand="1"/>
      </w:tblPr>
      <w:tblGrid>
        <w:gridCol w:w="617"/>
        <w:gridCol w:w="5077"/>
        <w:gridCol w:w="3544"/>
      </w:tblGrid>
      <w:tr w:rsidR="00372E84" w:rsidRPr="00B0311C" w:rsidTr="00372E84">
        <w:trPr>
          <w:trHeight w:val="641"/>
        </w:trPr>
        <w:tc>
          <w:tcPr>
            <w:tcW w:w="617" w:type="dxa"/>
            <w:vMerge w:val="restart"/>
            <w:tcBorders>
              <w:top w:val="single" w:sz="8" w:space="0" w:color="auto"/>
              <w:left w:val="single" w:sz="8" w:space="0" w:color="auto"/>
              <w:bottom w:val="nil"/>
              <w:right w:val="single" w:sz="8" w:space="0" w:color="auto"/>
            </w:tcBorders>
            <w:shd w:val="clear" w:color="auto" w:fill="auto"/>
            <w:vAlign w:val="center"/>
            <w:hideMark/>
          </w:tcPr>
          <w:p w:rsidR="00372E84" w:rsidRPr="00B0311C" w:rsidRDefault="00372E84" w:rsidP="000D0C1E">
            <w:pPr>
              <w:jc w:val="center"/>
              <w:rPr>
                <w:bCs/>
                <w:iCs/>
                <w:sz w:val="24"/>
                <w:szCs w:val="24"/>
                <w:lang w:val="uk-UA"/>
              </w:rPr>
            </w:pPr>
            <w:r w:rsidRPr="00B0311C">
              <w:rPr>
                <w:bCs/>
                <w:iCs/>
                <w:sz w:val="24"/>
                <w:szCs w:val="24"/>
                <w:lang w:val="uk-UA"/>
              </w:rPr>
              <w:t>№ з/п</w:t>
            </w:r>
          </w:p>
        </w:tc>
        <w:tc>
          <w:tcPr>
            <w:tcW w:w="5077" w:type="dxa"/>
            <w:vMerge w:val="restart"/>
            <w:tcBorders>
              <w:top w:val="single" w:sz="8" w:space="0" w:color="auto"/>
              <w:left w:val="single" w:sz="8" w:space="0" w:color="auto"/>
              <w:bottom w:val="nil"/>
              <w:right w:val="single" w:sz="8" w:space="0" w:color="auto"/>
            </w:tcBorders>
            <w:shd w:val="clear" w:color="auto" w:fill="auto"/>
            <w:vAlign w:val="center"/>
            <w:hideMark/>
          </w:tcPr>
          <w:p w:rsidR="00372E84" w:rsidRPr="00B0311C" w:rsidRDefault="00372E84" w:rsidP="000D0C1E">
            <w:pPr>
              <w:jc w:val="center"/>
              <w:rPr>
                <w:bCs/>
                <w:iCs/>
                <w:sz w:val="24"/>
                <w:szCs w:val="24"/>
                <w:lang w:val="uk-UA"/>
              </w:rPr>
            </w:pPr>
            <w:r w:rsidRPr="00B0311C">
              <w:rPr>
                <w:bCs/>
                <w:iCs/>
                <w:sz w:val="24"/>
                <w:szCs w:val="24"/>
                <w:lang w:val="uk-UA"/>
              </w:rPr>
              <w:t>Найменування показників</w:t>
            </w:r>
          </w:p>
        </w:tc>
        <w:tc>
          <w:tcPr>
            <w:tcW w:w="3544" w:type="dxa"/>
            <w:vMerge w:val="restart"/>
            <w:tcBorders>
              <w:top w:val="single" w:sz="8" w:space="0" w:color="auto"/>
              <w:left w:val="single" w:sz="8" w:space="0" w:color="auto"/>
              <w:bottom w:val="nil"/>
              <w:right w:val="single" w:sz="8" w:space="0" w:color="auto"/>
            </w:tcBorders>
            <w:shd w:val="clear" w:color="auto" w:fill="auto"/>
            <w:vAlign w:val="center"/>
            <w:hideMark/>
          </w:tcPr>
          <w:p w:rsidR="00372E84" w:rsidRPr="00B0311C" w:rsidRDefault="00372E84" w:rsidP="000D0C1E">
            <w:pPr>
              <w:jc w:val="center"/>
              <w:rPr>
                <w:bCs/>
                <w:iCs/>
                <w:sz w:val="24"/>
                <w:szCs w:val="24"/>
                <w:lang w:val="uk-UA"/>
              </w:rPr>
            </w:pPr>
            <w:r w:rsidRPr="008617E1">
              <w:rPr>
                <w:bCs/>
                <w:iCs/>
                <w:sz w:val="24"/>
                <w:szCs w:val="24"/>
                <w:lang w:val="uk-UA"/>
              </w:rPr>
              <w:t>Комплектувальн</w:t>
            </w:r>
            <w:r>
              <w:rPr>
                <w:bCs/>
                <w:iCs/>
                <w:sz w:val="24"/>
                <w:szCs w:val="24"/>
                <w:lang w:val="uk-UA"/>
              </w:rPr>
              <w:t>і</w:t>
            </w:r>
            <w:r w:rsidRPr="008617E1">
              <w:rPr>
                <w:bCs/>
                <w:iCs/>
                <w:sz w:val="24"/>
                <w:szCs w:val="24"/>
                <w:lang w:val="uk-UA"/>
              </w:rPr>
              <w:t xml:space="preserve"> вироб</w:t>
            </w:r>
            <w:r>
              <w:rPr>
                <w:bCs/>
                <w:iCs/>
                <w:sz w:val="24"/>
                <w:szCs w:val="24"/>
                <w:lang w:val="uk-UA"/>
              </w:rPr>
              <w:t>и</w:t>
            </w:r>
            <w:r w:rsidRPr="008617E1">
              <w:rPr>
                <w:bCs/>
                <w:iCs/>
                <w:sz w:val="24"/>
                <w:szCs w:val="24"/>
                <w:lang w:val="uk-UA"/>
              </w:rPr>
              <w:t xml:space="preserve"> для невиробничого обладнання (</w:t>
            </w:r>
            <w:r w:rsidRPr="00B0311C">
              <w:rPr>
                <w:bCs/>
                <w:iCs/>
                <w:sz w:val="24"/>
                <w:szCs w:val="24"/>
                <w:lang w:val="uk-UA"/>
              </w:rPr>
              <w:t>кисень медичний газоподібний</w:t>
            </w:r>
            <w:r w:rsidRPr="008617E1">
              <w:rPr>
                <w:bCs/>
                <w:iCs/>
                <w:sz w:val="24"/>
                <w:szCs w:val="24"/>
                <w:lang w:val="uk-UA"/>
              </w:rPr>
              <w:t>)</w:t>
            </w:r>
            <w:r w:rsidRPr="00B0311C">
              <w:rPr>
                <w:bCs/>
                <w:iCs/>
                <w:sz w:val="24"/>
                <w:szCs w:val="24"/>
                <w:lang w:val="uk-UA"/>
              </w:rPr>
              <w:t xml:space="preserve"> (норма)</w:t>
            </w:r>
          </w:p>
        </w:tc>
      </w:tr>
      <w:tr w:rsidR="00372E84" w:rsidRPr="00B0311C" w:rsidTr="00372E84">
        <w:trPr>
          <w:trHeight w:val="484"/>
        </w:trPr>
        <w:tc>
          <w:tcPr>
            <w:tcW w:w="617" w:type="dxa"/>
            <w:vMerge/>
            <w:tcBorders>
              <w:top w:val="single" w:sz="8" w:space="0" w:color="auto"/>
              <w:left w:val="single" w:sz="8" w:space="0" w:color="auto"/>
              <w:bottom w:val="single" w:sz="4" w:space="0" w:color="auto"/>
              <w:right w:val="single" w:sz="8" w:space="0" w:color="auto"/>
            </w:tcBorders>
            <w:vAlign w:val="center"/>
            <w:hideMark/>
          </w:tcPr>
          <w:p w:rsidR="00372E84" w:rsidRPr="00B0311C" w:rsidRDefault="00372E84" w:rsidP="000D0C1E">
            <w:pPr>
              <w:rPr>
                <w:bCs/>
                <w:i/>
                <w:iCs/>
                <w:sz w:val="24"/>
                <w:szCs w:val="24"/>
                <w:lang w:val="uk-UA"/>
              </w:rPr>
            </w:pPr>
          </w:p>
        </w:tc>
        <w:tc>
          <w:tcPr>
            <w:tcW w:w="5077" w:type="dxa"/>
            <w:vMerge/>
            <w:tcBorders>
              <w:top w:val="single" w:sz="8" w:space="0" w:color="auto"/>
              <w:left w:val="single" w:sz="8" w:space="0" w:color="auto"/>
              <w:bottom w:val="single" w:sz="4" w:space="0" w:color="auto"/>
              <w:right w:val="single" w:sz="8" w:space="0" w:color="auto"/>
            </w:tcBorders>
            <w:vAlign w:val="center"/>
            <w:hideMark/>
          </w:tcPr>
          <w:p w:rsidR="00372E84" w:rsidRPr="00B0311C" w:rsidRDefault="00372E84" w:rsidP="000D0C1E">
            <w:pPr>
              <w:rPr>
                <w:bCs/>
                <w:i/>
                <w:iCs/>
                <w:sz w:val="24"/>
                <w:szCs w:val="24"/>
                <w:lang w:val="uk-UA"/>
              </w:rPr>
            </w:pPr>
          </w:p>
        </w:tc>
        <w:tc>
          <w:tcPr>
            <w:tcW w:w="3544" w:type="dxa"/>
            <w:vMerge/>
            <w:tcBorders>
              <w:top w:val="single" w:sz="8" w:space="0" w:color="auto"/>
              <w:left w:val="single" w:sz="8" w:space="0" w:color="auto"/>
              <w:bottom w:val="single" w:sz="4" w:space="0" w:color="auto"/>
              <w:right w:val="single" w:sz="8" w:space="0" w:color="auto"/>
            </w:tcBorders>
            <w:vAlign w:val="center"/>
            <w:hideMark/>
          </w:tcPr>
          <w:p w:rsidR="00372E84" w:rsidRPr="00B0311C" w:rsidRDefault="00372E84" w:rsidP="000D0C1E">
            <w:pPr>
              <w:rPr>
                <w:bCs/>
                <w:i/>
                <w:iCs/>
                <w:sz w:val="24"/>
                <w:szCs w:val="24"/>
                <w:lang w:val="uk-UA"/>
              </w:rPr>
            </w:pPr>
          </w:p>
        </w:tc>
      </w:tr>
      <w:tr w:rsidR="00372E84" w:rsidRPr="00B0311C" w:rsidTr="00372E84">
        <w:trPr>
          <w:trHeight w:val="256"/>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372E84" w:rsidRPr="00B0311C" w:rsidRDefault="00372E84" w:rsidP="000D0C1E">
            <w:pPr>
              <w:jc w:val="center"/>
              <w:rPr>
                <w:sz w:val="24"/>
                <w:szCs w:val="24"/>
                <w:lang w:val="uk-UA"/>
              </w:rPr>
            </w:pPr>
            <w:r w:rsidRPr="00B0311C">
              <w:rPr>
                <w:sz w:val="24"/>
                <w:szCs w:val="24"/>
                <w:lang w:val="uk-UA"/>
              </w:rPr>
              <w:t>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rsidR="00372E84" w:rsidRPr="00B0311C" w:rsidRDefault="00372E84" w:rsidP="000D0C1E">
            <w:pPr>
              <w:rPr>
                <w:sz w:val="24"/>
                <w:szCs w:val="24"/>
                <w:lang w:val="uk-UA"/>
              </w:rPr>
            </w:pPr>
            <w:r w:rsidRPr="00B0311C">
              <w:rPr>
                <w:sz w:val="24"/>
                <w:szCs w:val="24"/>
                <w:lang w:val="uk-UA"/>
              </w:rPr>
              <w:t>Об’ємна доля кисню %, не менше</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2E84" w:rsidRPr="00B0311C" w:rsidRDefault="00372E84" w:rsidP="000D0C1E">
            <w:pPr>
              <w:jc w:val="center"/>
              <w:rPr>
                <w:sz w:val="24"/>
                <w:szCs w:val="24"/>
                <w:lang w:val="uk-UA"/>
              </w:rPr>
            </w:pPr>
            <w:r w:rsidRPr="00B0311C">
              <w:rPr>
                <w:sz w:val="24"/>
                <w:szCs w:val="24"/>
              </w:rPr>
              <w:t>99,5</w:t>
            </w:r>
          </w:p>
        </w:tc>
      </w:tr>
      <w:tr w:rsidR="00372E84" w:rsidRPr="00B0311C" w:rsidTr="00372E84">
        <w:trPr>
          <w:trHeight w:val="275"/>
        </w:trPr>
        <w:tc>
          <w:tcPr>
            <w:tcW w:w="617" w:type="dxa"/>
            <w:tcBorders>
              <w:top w:val="nil"/>
              <w:left w:val="single" w:sz="4" w:space="0" w:color="auto"/>
              <w:bottom w:val="single" w:sz="4" w:space="0" w:color="auto"/>
              <w:right w:val="single" w:sz="4" w:space="0" w:color="auto"/>
            </w:tcBorders>
            <w:shd w:val="clear" w:color="auto" w:fill="auto"/>
            <w:vAlign w:val="center"/>
          </w:tcPr>
          <w:p w:rsidR="00372E84" w:rsidRPr="00B0311C" w:rsidRDefault="00372E84" w:rsidP="000D0C1E">
            <w:pPr>
              <w:jc w:val="center"/>
              <w:rPr>
                <w:sz w:val="24"/>
                <w:szCs w:val="24"/>
                <w:lang w:val="uk-UA"/>
              </w:rPr>
            </w:pPr>
            <w:r w:rsidRPr="00B0311C">
              <w:rPr>
                <w:sz w:val="24"/>
                <w:szCs w:val="24"/>
                <w:lang w:val="uk-UA"/>
              </w:rPr>
              <w:t>2</w:t>
            </w:r>
          </w:p>
        </w:tc>
        <w:tc>
          <w:tcPr>
            <w:tcW w:w="5077" w:type="dxa"/>
            <w:tcBorders>
              <w:top w:val="nil"/>
              <w:left w:val="single" w:sz="4" w:space="0" w:color="auto"/>
              <w:bottom w:val="single" w:sz="4" w:space="0" w:color="auto"/>
              <w:right w:val="single" w:sz="4" w:space="0" w:color="auto"/>
            </w:tcBorders>
            <w:shd w:val="clear" w:color="auto" w:fill="auto"/>
            <w:vAlign w:val="center"/>
          </w:tcPr>
          <w:p w:rsidR="00372E84" w:rsidRPr="00B0311C" w:rsidRDefault="00372E84" w:rsidP="000D0C1E">
            <w:pPr>
              <w:rPr>
                <w:sz w:val="24"/>
                <w:szCs w:val="24"/>
                <w:lang w:val="uk-UA"/>
              </w:rPr>
            </w:pPr>
            <w:r w:rsidRPr="00B0311C">
              <w:rPr>
                <w:sz w:val="24"/>
                <w:szCs w:val="24"/>
                <w:lang w:val="uk-UA"/>
              </w:rPr>
              <w:t xml:space="preserve">Масова концентрація водяної пари </w:t>
            </w:r>
            <w:bookmarkStart w:id="0" w:name="_Hlk65744513"/>
            <w:r w:rsidRPr="00B0311C">
              <w:rPr>
                <w:sz w:val="24"/>
                <w:szCs w:val="24"/>
                <w:lang w:val="uk-UA"/>
              </w:rPr>
              <w:t xml:space="preserve">при 20°С </w:t>
            </w:r>
            <w:bookmarkEnd w:id="0"/>
            <w:r w:rsidRPr="00B0311C">
              <w:rPr>
                <w:sz w:val="24"/>
                <w:szCs w:val="24"/>
                <w:lang w:val="uk-UA"/>
              </w:rPr>
              <w:t>та 101,3 кПа, г/м</w:t>
            </w:r>
            <w:r w:rsidRPr="00B0311C">
              <w:rPr>
                <w:sz w:val="24"/>
                <w:szCs w:val="24"/>
                <w:vertAlign w:val="superscript"/>
                <w:lang w:val="uk-UA"/>
              </w:rPr>
              <w:t>3</w:t>
            </w:r>
            <w:r w:rsidRPr="00B0311C">
              <w:rPr>
                <w:sz w:val="24"/>
                <w:szCs w:val="24"/>
                <w:lang w:val="uk-UA"/>
              </w:rPr>
              <w:t>, не більше</w:t>
            </w:r>
          </w:p>
        </w:tc>
        <w:tc>
          <w:tcPr>
            <w:tcW w:w="3544" w:type="dxa"/>
            <w:tcBorders>
              <w:top w:val="nil"/>
              <w:left w:val="single" w:sz="4" w:space="0" w:color="auto"/>
              <w:bottom w:val="single" w:sz="4" w:space="0" w:color="auto"/>
              <w:right w:val="single" w:sz="4" w:space="0" w:color="auto"/>
            </w:tcBorders>
            <w:shd w:val="clear" w:color="auto" w:fill="auto"/>
            <w:vAlign w:val="center"/>
          </w:tcPr>
          <w:p w:rsidR="00372E84" w:rsidRPr="00B0311C" w:rsidRDefault="00372E84" w:rsidP="000D0C1E">
            <w:pPr>
              <w:jc w:val="center"/>
              <w:rPr>
                <w:sz w:val="24"/>
                <w:szCs w:val="24"/>
                <w:lang w:val="uk-UA"/>
              </w:rPr>
            </w:pPr>
            <w:r w:rsidRPr="00B0311C">
              <w:rPr>
                <w:sz w:val="24"/>
                <w:szCs w:val="24"/>
              </w:rPr>
              <w:t>0,0</w:t>
            </w:r>
            <w:r w:rsidRPr="00B0311C">
              <w:rPr>
                <w:sz w:val="24"/>
                <w:szCs w:val="24"/>
                <w:lang w:val="uk-UA"/>
              </w:rPr>
              <w:t>09</w:t>
            </w:r>
          </w:p>
        </w:tc>
      </w:tr>
      <w:tr w:rsidR="00372E84" w:rsidRPr="00B0311C" w:rsidTr="00372E84">
        <w:trPr>
          <w:trHeight w:val="263"/>
        </w:trPr>
        <w:tc>
          <w:tcPr>
            <w:tcW w:w="617" w:type="dxa"/>
            <w:tcBorders>
              <w:top w:val="nil"/>
              <w:left w:val="single" w:sz="4" w:space="0" w:color="auto"/>
              <w:bottom w:val="single" w:sz="4" w:space="0" w:color="auto"/>
              <w:right w:val="single" w:sz="4" w:space="0" w:color="auto"/>
            </w:tcBorders>
            <w:shd w:val="clear" w:color="auto" w:fill="auto"/>
            <w:vAlign w:val="center"/>
          </w:tcPr>
          <w:p w:rsidR="00372E84" w:rsidRPr="00B0311C" w:rsidRDefault="00372E84" w:rsidP="000D0C1E">
            <w:pPr>
              <w:jc w:val="center"/>
              <w:rPr>
                <w:sz w:val="24"/>
                <w:szCs w:val="24"/>
                <w:lang w:val="uk-UA"/>
              </w:rPr>
            </w:pPr>
            <w:r w:rsidRPr="00B0311C">
              <w:rPr>
                <w:sz w:val="24"/>
                <w:szCs w:val="24"/>
                <w:lang w:val="uk-UA"/>
              </w:rPr>
              <w:t>3</w:t>
            </w:r>
          </w:p>
        </w:tc>
        <w:tc>
          <w:tcPr>
            <w:tcW w:w="5077" w:type="dxa"/>
            <w:tcBorders>
              <w:top w:val="nil"/>
              <w:left w:val="single" w:sz="4" w:space="0" w:color="auto"/>
              <w:bottom w:val="single" w:sz="4" w:space="0" w:color="auto"/>
              <w:right w:val="single" w:sz="4" w:space="0" w:color="auto"/>
            </w:tcBorders>
            <w:shd w:val="clear" w:color="auto" w:fill="auto"/>
            <w:vAlign w:val="center"/>
          </w:tcPr>
          <w:p w:rsidR="00372E84" w:rsidRPr="00B0311C" w:rsidRDefault="00372E84" w:rsidP="000D0C1E">
            <w:pPr>
              <w:rPr>
                <w:sz w:val="24"/>
                <w:szCs w:val="24"/>
                <w:lang w:val="uk-UA"/>
              </w:rPr>
            </w:pPr>
            <w:r w:rsidRPr="00B0311C">
              <w:rPr>
                <w:sz w:val="24"/>
                <w:szCs w:val="24"/>
                <w:lang w:val="uk-UA"/>
              </w:rPr>
              <w:t>Об'ємна частка двоокису вуглецю, %, не більше</w:t>
            </w:r>
          </w:p>
        </w:tc>
        <w:tc>
          <w:tcPr>
            <w:tcW w:w="3544" w:type="dxa"/>
            <w:tcBorders>
              <w:top w:val="nil"/>
              <w:left w:val="single" w:sz="4" w:space="0" w:color="auto"/>
              <w:bottom w:val="single" w:sz="4" w:space="0" w:color="auto"/>
              <w:right w:val="single" w:sz="4" w:space="0" w:color="auto"/>
            </w:tcBorders>
            <w:shd w:val="clear" w:color="auto" w:fill="auto"/>
            <w:vAlign w:val="center"/>
          </w:tcPr>
          <w:p w:rsidR="00372E84" w:rsidRPr="00B0311C" w:rsidRDefault="00372E84" w:rsidP="000D0C1E">
            <w:pPr>
              <w:jc w:val="center"/>
              <w:rPr>
                <w:sz w:val="24"/>
                <w:szCs w:val="24"/>
                <w:lang w:val="uk-UA"/>
              </w:rPr>
            </w:pPr>
            <w:r w:rsidRPr="00B0311C">
              <w:rPr>
                <w:sz w:val="24"/>
                <w:szCs w:val="24"/>
              </w:rPr>
              <w:t>0,01</w:t>
            </w:r>
          </w:p>
        </w:tc>
      </w:tr>
      <w:tr w:rsidR="00372E84" w:rsidRPr="00B0311C" w:rsidTr="00372E84">
        <w:trPr>
          <w:trHeight w:val="269"/>
        </w:trPr>
        <w:tc>
          <w:tcPr>
            <w:tcW w:w="617" w:type="dxa"/>
            <w:tcBorders>
              <w:top w:val="nil"/>
              <w:left w:val="single" w:sz="4" w:space="0" w:color="auto"/>
              <w:bottom w:val="single" w:sz="4" w:space="0" w:color="auto"/>
              <w:right w:val="single" w:sz="4" w:space="0" w:color="auto"/>
            </w:tcBorders>
            <w:shd w:val="clear" w:color="auto" w:fill="auto"/>
            <w:vAlign w:val="center"/>
          </w:tcPr>
          <w:p w:rsidR="00372E84" w:rsidRPr="00B0311C" w:rsidRDefault="00372E84" w:rsidP="000D0C1E">
            <w:pPr>
              <w:jc w:val="center"/>
              <w:rPr>
                <w:sz w:val="24"/>
                <w:szCs w:val="24"/>
                <w:lang w:val="uk-UA"/>
              </w:rPr>
            </w:pPr>
            <w:r w:rsidRPr="00B0311C">
              <w:rPr>
                <w:sz w:val="24"/>
                <w:szCs w:val="24"/>
                <w:lang w:val="uk-UA"/>
              </w:rPr>
              <w:t>4</w:t>
            </w:r>
          </w:p>
        </w:tc>
        <w:tc>
          <w:tcPr>
            <w:tcW w:w="5077" w:type="dxa"/>
            <w:tcBorders>
              <w:top w:val="nil"/>
              <w:left w:val="single" w:sz="4" w:space="0" w:color="auto"/>
              <w:bottom w:val="single" w:sz="4" w:space="0" w:color="auto"/>
              <w:right w:val="single" w:sz="4" w:space="0" w:color="auto"/>
            </w:tcBorders>
            <w:shd w:val="clear" w:color="auto" w:fill="auto"/>
            <w:vAlign w:val="center"/>
          </w:tcPr>
          <w:p w:rsidR="00372E84" w:rsidRPr="00B0311C" w:rsidRDefault="00372E84" w:rsidP="000D0C1E">
            <w:pPr>
              <w:rPr>
                <w:sz w:val="24"/>
                <w:szCs w:val="24"/>
                <w:lang w:val="uk-UA"/>
              </w:rPr>
            </w:pPr>
            <w:r w:rsidRPr="00B0311C">
              <w:rPr>
                <w:sz w:val="24"/>
                <w:szCs w:val="24"/>
                <w:lang w:val="uk-UA"/>
              </w:rPr>
              <w:t xml:space="preserve">Зміст окису вуглецю, %, не більше </w:t>
            </w:r>
          </w:p>
        </w:tc>
        <w:tc>
          <w:tcPr>
            <w:tcW w:w="3544" w:type="dxa"/>
            <w:tcBorders>
              <w:top w:val="nil"/>
              <w:left w:val="single" w:sz="4" w:space="0" w:color="auto"/>
              <w:bottom w:val="single" w:sz="4" w:space="0" w:color="auto"/>
              <w:right w:val="single" w:sz="4" w:space="0" w:color="auto"/>
            </w:tcBorders>
            <w:shd w:val="clear" w:color="auto" w:fill="auto"/>
            <w:vAlign w:val="center"/>
          </w:tcPr>
          <w:p w:rsidR="00372E84" w:rsidRPr="00B0311C" w:rsidRDefault="00372E84" w:rsidP="000D0C1E">
            <w:pPr>
              <w:jc w:val="center"/>
              <w:rPr>
                <w:strike/>
                <w:sz w:val="24"/>
                <w:szCs w:val="24"/>
                <w:lang w:val="uk-UA"/>
              </w:rPr>
            </w:pPr>
            <w:r w:rsidRPr="00B0311C">
              <w:rPr>
                <w:sz w:val="24"/>
                <w:szCs w:val="24"/>
                <w:lang w:val="uk-UA"/>
              </w:rPr>
              <w:t>0,0005</w:t>
            </w:r>
          </w:p>
        </w:tc>
      </w:tr>
      <w:tr w:rsidR="00372E84" w:rsidRPr="00B0311C" w:rsidTr="00372E84">
        <w:trPr>
          <w:trHeight w:val="117"/>
        </w:trPr>
        <w:tc>
          <w:tcPr>
            <w:tcW w:w="617" w:type="dxa"/>
            <w:tcBorders>
              <w:top w:val="nil"/>
              <w:left w:val="single" w:sz="4" w:space="0" w:color="auto"/>
              <w:bottom w:val="single" w:sz="4" w:space="0" w:color="auto"/>
              <w:right w:val="single" w:sz="4" w:space="0" w:color="auto"/>
            </w:tcBorders>
            <w:shd w:val="clear" w:color="auto" w:fill="auto"/>
            <w:vAlign w:val="center"/>
          </w:tcPr>
          <w:p w:rsidR="00372E84" w:rsidRPr="00B0311C" w:rsidRDefault="00372E84" w:rsidP="000D0C1E">
            <w:pPr>
              <w:jc w:val="center"/>
              <w:rPr>
                <w:sz w:val="24"/>
                <w:szCs w:val="24"/>
                <w:lang w:val="uk-UA"/>
              </w:rPr>
            </w:pPr>
            <w:r w:rsidRPr="00B0311C">
              <w:rPr>
                <w:sz w:val="24"/>
                <w:szCs w:val="24"/>
                <w:lang w:val="uk-UA"/>
              </w:rPr>
              <w:t>5</w:t>
            </w:r>
          </w:p>
        </w:tc>
        <w:tc>
          <w:tcPr>
            <w:tcW w:w="5077" w:type="dxa"/>
            <w:tcBorders>
              <w:top w:val="nil"/>
              <w:left w:val="single" w:sz="4" w:space="0" w:color="auto"/>
              <w:bottom w:val="single" w:sz="4" w:space="0" w:color="auto"/>
              <w:right w:val="single" w:sz="4" w:space="0" w:color="auto"/>
            </w:tcBorders>
            <w:shd w:val="clear" w:color="auto" w:fill="auto"/>
            <w:vAlign w:val="center"/>
          </w:tcPr>
          <w:p w:rsidR="00372E84" w:rsidRPr="00B0311C" w:rsidRDefault="00372E84" w:rsidP="000D0C1E">
            <w:pPr>
              <w:rPr>
                <w:sz w:val="24"/>
                <w:szCs w:val="24"/>
                <w:lang w:val="uk-UA"/>
              </w:rPr>
            </w:pPr>
            <w:r w:rsidRPr="00B0311C">
              <w:rPr>
                <w:sz w:val="24"/>
                <w:szCs w:val="24"/>
                <w:lang w:val="uk-UA"/>
              </w:rPr>
              <w:t>Вміст озону та інших газів-</w:t>
            </w:r>
            <w:proofErr w:type="spellStart"/>
            <w:r w:rsidRPr="00B0311C">
              <w:rPr>
                <w:sz w:val="24"/>
                <w:szCs w:val="24"/>
                <w:lang w:val="uk-UA"/>
              </w:rPr>
              <w:t>окислювачів</w:t>
            </w:r>
            <w:proofErr w:type="spellEnd"/>
          </w:p>
        </w:tc>
        <w:tc>
          <w:tcPr>
            <w:tcW w:w="3544" w:type="dxa"/>
            <w:tcBorders>
              <w:top w:val="nil"/>
              <w:left w:val="single" w:sz="4" w:space="0" w:color="auto"/>
              <w:bottom w:val="single" w:sz="4" w:space="0" w:color="auto"/>
              <w:right w:val="single" w:sz="4" w:space="0" w:color="auto"/>
            </w:tcBorders>
            <w:shd w:val="clear" w:color="auto" w:fill="auto"/>
            <w:vAlign w:val="center"/>
          </w:tcPr>
          <w:p w:rsidR="00372E84" w:rsidRPr="00B0311C" w:rsidRDefault="00372E84" w:rsidP="000D0C1E">
            <w:pPr>
              <w:jc w:val="center"/>
              <w:rPr>
                <w:sz w:val="24"/>
                <w:szCs w:val="24"/>
                <w:lang w:val="uk-UA"/>
              </w:rPr>
            </w:pPr>
            <w:r w:rsidRPr="00B0311C">
              <w:rPr>
                <w:sz w:val="24"/>
                <w:szCs w:val="24"/>
                <w:lang w:val="uk-UA"/>
              </w:rPr>
              <w:t>відсутній</w:t>
            </w:r>
          </w:p>
        </w:tc>
      </w:tr>
      <w:tr w:rsidR="00372E84" w:rsidRPr="00B0311C" w:rsidTr="00372E84">
        <w:trPr>
          <w:trHeight w:val="291"/>
        </w:trPr>
        <w:tc>
          <w:tcPr>
            <w:tcW w:w="617" w:type="dxa"/>
            <w:tcBorders>
              <w:top w:val="nil"/>
              <w:left w:val="single" w:sz="4" w:space="0" w:color="auto"/>
              <w:bottom w:val="single" w:sz="4" w:space="0" w:color="auto"/>
              <w:right w:val="single" w:sz="4" w:space="0" w:color="auto"/>
            </w:tcBorders>
            <w:shd w:val="clear" w:color="auto" w:fill="auto"/>
            <w:vAlign w:val="center"/>
          </w:tcPr>
          <w:p w:rsidR="00372E84" w:rsidRPr="00B0311C" w:rsidRDefault="00372E84" w:rsidP="000D0C1E">
            <w:pPr>
              <w:jc w:val="center"/>
              <w:rPr>
                <w:sz w:val="24"/>
                <w:szCs w:val="24"/>
                <w:lang w:val="uk-UA"/>
              </w:rPr>
            </w:pPr>
            <w:r w:rsidRPr="00B0311C">
              <w:rPr>
                <w:sz w:val="24"/>
                <w:szCs w:val="24"/>
                <w:lang w:val="uk-UA"/>
              </w:rPr>
              <w:t>6</w:t>
            </w:r>
          </w:p>
        </w:tc>
        <w:tc>
          <w:tcPr>
            <w:tcW w:w="5077" w:type="dxa"/>
            <w:tcBorders>
              <w:top w:val="nil"/>
              <w:left w:val="single" w:sz="4" w:space="0" w:color="auto"/>
              <w:bottom w:val="single" w:sz="4" w:space="0" w:color="auto"/>
              <w:right w:val="single" w:sz="4" w:space="0" w:color="auto"/>
            </w:tcBorders>
            <w:shd w:val="clear" w:color="auto" w:fill="auto"/>
            <w:vAlign w:val="center"/>
          </w:tcPr>
          <w:p w:rsidR="00372E84" w:rsidRPr="00B0311C" w:rsidRDefault="00372E84" w:rsidP="000D0C1E">
            <w:pPr>
              <w:rPr>
                <w:sz w:val="24"/>
                <w:szCs w:val="24"/>
                <w:lang w:val="uk-UA"/>
              </w:rPr>
            </w:pPr>
            <w:r w:rsidRPr="00B0311C">
              <w:rPr>
                <w:sz w:val="24"/>
                <w:szCs w:val="24"/>
              </w:rPr>
              <w:t>Запах</w:t>
            </w:r>
          </w:p>
        </w:tc>
        <w:tc>
          <w:tcPr>
            <w:tcW w:w="3544" w:type="dxa"/>
            <w:tcBorders>
              <w:top w:val="nil"/>
              <w:left w:val="single" w:sz="4" w:space="0" w:color="auto"/>
              <w:bottom w:val="single" w:sz="4" w:space="0" w:color="auto"/>
              <w:right w:val="single" w:sz="4" w:space="0" w:color="auto"/>
            </w:tcBorders>
            <w:shd w:val="clear" w:color="auto" w:fill="auto"/>
            <w:vAlign w:val="center"/>
          </w:tcPr>
          <w:p w:rsidR="00372E84" w:rsidRPr="00B0311C" w:rsidRDefault="00372E84" w:rsidP="000D0C1E">
            <w:pPr>
              <w:jc w:val="center"/>
              <w:rPr>
                <w:sz w:val="24"/>
                <w:szCs w:val="24"/>
                <w:lang w:val="uk-UA"/>
              </w:rPr>
            </w:pPr>
            <w:r w:rsidRPr="00B0311C">
              <w:rPr>
                <w:sz w:val="24"/>
                <w:szCs w:val="24"/>
                <w:lang w:val="uk-UA"/>
              </w:rPr>
              <w:t>відсутній</w:t>
            </w:r>
          </w:p>
        </w:tc>
      </w:tr>
    </w:tbl>
    <w:p w:rsidR="005C0A93" w:rsidRPr="005C0A93" w:rsidRDefault="00372E84" w:rsidP="005C0A93">
      <w:pPr>
        <w:numPr>
          <w:ilvl w:val="0"/>
          <w:numId w:val="4"/>
        </w:numPr>
        <w:tabs>
          <w:tab w:val="left" w:pos="426"/>
          <w:tab w:val="left" w:pos="567"/>
          <w:tab w:val="left" w:pos="851"/>
          <w:tab w:val="left" w:pos="993"/>
        </w:tabs>
        <w:ind w:left="0" w:firstLine="709"/>
        <w:contextualSpacing/>
        <w:jc w:val="both"/>
        <w:rPr>
          <w:bCs/>
          <w:iCs/>
          <w:kern w:val="2"/>
          <w:sz w:val="24"/>
          <w:szCs w:val="24"/>
          <w:lang w:val="uk-UA" w:eastAsia="ar-SA"/>
        </w:rPr>
      </w:pPr>
      <w:r w:rsidRPr="005C0A93">
        <w:rPr>
          <w:bCs/>
          <w:iCs/>
          <w:kern w:val="2"/>
          <w:sz w:val="24"/>
          <w:szCs w:val="24"/>
          <w:lang w:val="uk-UA" w:eastAsia="ar-SA"/>
        </w:rPr>
        <w:t xml:space="preserve">Товар </w:t>
      </w:r>
      <w:r w:rsidRPr="005C0A93">
        <w:rPr>
          <w:sz w:val="24"/>
          <w:szCs w:val="24"/>
          <w:lang w:val="uk-UA"/>
        </w:rPr>
        <w:t>має постачатися тільки у спеціалізованій та технічно справній тарі (балон).</w:t>
      </w:r>
    </w:p>
    <w:p w:rsidR="00372E84" w:rsidRPr="005C0A93" w:rsidRDefault="00372E84" w:rsidP="005C0A93">
      <w:pPr>
        <w:numPr>
          <w:ilvl w:val="0"/>
          <w:numId w:val="4"/>
        </w:numPr>
        <w:tabs>
          <w:tab w:val="left" w:pos="426"/>
          <w:tab w:val="left" w:pos="567"/>
          <w:tab w:val="left" w:pos="851"/>
          <w:tab w:val="left" w:pos="993"/>
        </w:tabs>
        <w:ind w:left="0" w:firstLine="709"/>
        <w:contextualSpacing/>
        <w:jc w:val="both"/>
        <w:rPr>
          <w:bCs/>
          <w:iCs/>
          <w:kern w:val="2"/>
          <w:sz w:val="24"/>
          <w:szCs w:val="24"/>
          <w:lang w:val="uk-UA" w:eastAsia="ar-SA"/>
        </w:rPr>
      </w:pPr>
      <w:r w:rsidRPr="005C0A93">
        <w:rPr>
          <w:bCs/>
          <w:iCs/>
          <w:kern w:val="2"/>
          <w:sz w:val="24"/>
          <w:szCs w:val="24"/>
          <w:lang w:val="uk-UA" w:eastAsia="ar-SA"/>
        </w:rPr>
        <w:t xml:space="preserve">Тара (балон) – є зворотною.       </w:t>
      </w:r>
    </w:p>
    <w:p w:rsidR="00372E84" w:rsidRPr="00B0311C" w:rsidRDefault="00372E84" w:rsidP="005C0A93">
      <w:pPr>
        <w:pStyle w:val="21"/>
        <w:numPr>
          <w:ilvl w:val="0"/>
          <w:numId w:val="4"/>
        </w:numPr>
        <w:tabs>
          <w:tab w:val="left" w:pos="567"/>
          <w:tab w:val="left" w:pos="851"/>
          <w:tab w:val="left" w:pos="993"/>
        </w:tabs>
        <w:spacing w:after="0" w:line="240" w:lineRule="auto"/>
        <w:ind w:left="0" w:firstLine="709"/>
        <w:jc w:val="both"/>
        <w:rPr>
          <w:sz w:val="24"/>
          <w:szCs w:val="24"/>
          <w:lang w:val="uk-UA"/>
        </w:rPr>
      </w:pPr>
      <w:r w:rsidRPr="00B0311C">
        <w:rPr>
          <w:bCs/>
          <w:iCs/>
          <w:kern w:val="2"/>
          <w:sz w:val="24"/>
          <w:szCs w:val="24"/>
          <w:lang w:val="uk-UA" w:eastAsia="ar-SA"/>
        </w:rPr>
        <w:t xml:space="preserve">Передача товару здійснюється шляхом отримання Учасником балону Замовника, ремонту балону (за необхідності), заповнення його товаром та повернення Замовнику.   </w:t>
      </w:r>
    </w:p>
    <w:p w:rsidR="00372E84" w:rsidRPr="00B0311C" w:rsidRDefault="00372E84" w:rsidP="005C0A93">
      <w:pPr>
        <w:pStyle w:val="21"/>
        <w:numPr>
          <w:ilvl w:val="0"/>
          <w:numId w:val="4"/>
        </w:numPr>
        <w:tabs>
          <w:tab w:val="left" w:pos="567"/>
          <w:tab w:val="left" w:pos="851"/>
          <w:tab w:val="left" w:pos="993"/>
        </w:tabs>
        <w:spacing w:after="0" w:line="240" w:lineRule="auto"/>
        <w:ind w:left="0" w:firstLine="709"/>
        <w:jc w:val="both"/>
        <w:rPr>
          <w:sz w:val="24"/>
          <w:szCs w:val="24"/>
          <w:lang w:val="uk-UA"/>
        </w:rPr>
      </w:pPr>
      <w:r w:rsidRPr="00B0311C">
        <w:rPr>
          <w:bCs/>
          <w:iCs/>
          <w:kern w:val="2"/>
          <w:sz w:val="24"/>
          <w:szCs w:val="24"/>
          <w:lang w:val="uk-UA" w:eastAsia="ar-SA"/>
        </w:rPr>
        <w:t xml:space="preserve">Учасник зобов’язаний прийняти порожній балон Замовника. Порожній балон, що надійшов від Замовника для наповнення, підлягає перевірці Учасником, яка включає огляд з метою виявлення: зовнішніх пошкоджень, наявності залишкового тиску, кількості залишків, що не випарувалися, дати чергового </w:t>
      </w:r>
      <w:proofErr w:type="spellStart"/>
      <w:r w:rsidRPr="00B0311C">
        <w:rPr>
          <w:bCs/>
          <w:iCs/>
          <w:kern w:val="2"/>
          <w:sz w:val="24"/>
          <w:szCs w:val="24"/>
          <w:lang w:val="uk-UA" w:eastAsia="ar-SA"/>
        </w:rPr>
        <w:t>опосвідчення</w:t>
      </w:r>
      <w:proofErr w:type="spellEnd"/>
      <w:r w:rsidRPr="00B0311C">
        <w:rPr>
          <w:bCs/>
          <w:iCs/>
          <w:kern w:val="2"/>
          <w:sz w:val="24"/>
          <w:szCs w:val="24"/>
          <w:lang w:val="uk-UA" w:eastAsia="ar-SA"/>
        </w:rPr>
        <w:t xml:space="preserve"> з метою перевірки придатності балона до наповнення.   </w:t>
      </w:r>
    </w:p>
    <w:p w:rsidR="005C0A93" w:rsidRDefault="00372E84" w:rsidP="005C0A93">
      <w:pPr>
        <w:numPr>
          <w:ilvl w:val="0"/>
          <w:numId w:val="4"/>
        </w:numPr>
        <w:tabs>
          <w:tab w:val="left" w:pos="426"/>
          <w:tab w:val="left" w:pos="567"/>
          <w:tab w:val="left" w:pos="851"/>
          <w:tab w:val="left" w:pos="993"/>
        </w:tabs>
        <w:ind w:left="0" w:firstLine="709"/>
        <w:contextualSpacing/>
        <w:jc w:val="both"/>
        <w:rPr>
          <w:bCs/>
          <w:iCs/>
          <w:kern w:val="2"/>
          <w:sz w:val="24"/>
          <w:szCs w:val="24"/>
          <w:lang w:val="uk-UA" w:eastAsia="ar-SA"/>
        </w:rPr>
      </w:pPr>
      <w:r w:rsidRPr="00B0311C">
        <w:rPr>
          <w:bCs/>
          <w:iCs/>
          <w:kern w:val="2"/>
          <w:sz w:val="24"/>
          <w:szCs w:val="24"/>
          <w:lang w:val="uk-UA" w:eastAsia="ar-SA"/>
        </w:rPr>
        <w:t>Балон (зворотна тара) має  відповідати: «Правилам будови і безпеки експлуатації посудин, що працюють під тиском» НПАОП 0.00-1.81.18. Зворотний балон повинен бути з непростроченим випробуванням, без зовнішніх пошкоджень, із справним вентилем, із забарвленням відповідно газу.</w:t>
      </w:r>
    </w:p>
    <w:p w:rsidR="00372E84" w:rsidRPr="00B0311C" w:rsidRDefault="005C0A93" w:rsidP="005C0A93">
      <w:pPr>
        <w:numPr>
          <w:ilvl w:val="0"/>
          <w:numId w:val="4"/>
        </w:numPr>
        <w:tabs>
          <w:tab w:val="left" w:pos="426"/>
          <w:tab w:val="left" w:pos="567"/>
          <w:tab w:val="left" w:pos="851"/>
          <w:tab w:val="left" w:pos="993"/>
        </w:tabs>
        <w:ind w:left="0" w:firstLine="709"/>
        <w:contextualSpacing/>
        <w:jc w:val="both"/>
        <w:rPr>
          <w:bCs/>
          <w:iCs/>
          <w:kern w:val="2"/>
          <w:sz w:val="24"/>
          <w:szCs w:val="24"/>
          <w:lang w:val="uk-UA" w:eastAsia="ar-SA"/>
        </w:rPr>
      </w:pPr>
      <w:bookmarkStart w:id="1" w:name="_GoBack"/>
      <w:r w:rsidRPr="00B0311C">
        <w:rPr>
          <w:bCs/>
          <w:iCs/>
          <w:kern w:val="2"/>
          <w:sz w:val="24"/>
          <w:szCs w:val="24"/>
          <w:lang w:val="uk-UA" w:eastAsia="ar-SA"/>
        </w:rPr>
        <w:t>Учасник гарантує, що заправка в балон здійснюватиметься з дотриманням вимог охорони праці, екології та пожежної безпеки.</w:t>
      </w:r>
      <w:bookmarkEnd w:id="1"/>
    </w:p>
    <w:p w:rsidR="00AA61F8" w:rsidRPr="00DF3213" w:rsidRDefault="00372E84" w:rsidP="00372E84">
      <w:pPr>
        <w:pStyle w:val="21"/>
        <w:spacing w:after="0" w:line="240" w:lineRule="auto"/>
        <w:ind w:left="0" w:firstLine="357"/>
        <w:jc w:val="both"/>
        <w:rPr>
          <w:lang w:val="uk-UA"/>
        </w:rPr>
      </w:pPr>
      <w:r w:rsidRPr="00B0311C">
        <w:rPr>
          <w:bCs/>
          <w:iCs/>
          <w:kern w:val="2"/>
          <w:sz w:val="24"/>
          <w:szCs w:val="24"/>
          <w:lang w:val="uk-UA" w:eastAsia="ar-SA"/>
        </w:rPr>
        <w:t xml:space="preserve"> </w:t>
      </w:r>
    </w:p>
    <w:sectPr w:rsidR="00AA61F8" w:rsidRPr="00DF32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Times New Rom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61DAE"/>
    <w:multiLevelType w:val="hybridMultilevel"/>
    <w:tmpl w:val="C7DE293E"/>
    <w:lvl w:ilvl="0" w:tplc="CF7C46D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94A7FA2"/>
    <w:multiLevelType w:val="singleLevel"/>
    <w:tmpl w:val="8D0457A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30C5525"/>
    <w:multiLevelType w:val="hybridMultilevel"/>
    <w:tmpl w:val="E3840150"/>
    <w:lvl w:ilvl="0" w:tplc="ABDC986C">
      <w:start w:val="1"/>
      <w:numFmt w:val="decimal"/>
      <w:lvlText w:val="%1."/>
      <w:lvlJc w:val="left"/>
      <w:pPr>
        <w:ind w:left="927" w:hanging="360"/>
      </w:pPr>
      <w:rPr>
        <w:rFonts w:cs="Liberation Serif;Times New Roma"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75DB25FE"/>
    <w:multiLevelType w:val="hybridMultilevel"/>
    <w:tmpl w:val="B98CAE02"/>
    <w:lvl w:ilvl="0" w:tplc="C8D673E6">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13"/>
    <w:rsid w:val="000E3424"/>
    <w:rsid w:val="00175E8C"/>
    <w:rsid w:val="001C4362"/>
    <w:rsid w:val="002F39EE"/>
    <w:rsid w:val="00372E84"/>
    <w:rsid w:val="00387151"/>
    <w:rsid w:val="005C0A93"/>
    <w:rsid w:val="00AA61F8"/>
    <w:rsid w:val="00CD5841"/>
    <w:rsid w:val="00D57A23"/>
    <w:rsid w:val="00DF3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3B05"/>
  <w15:chartTrackingRefBased/>
  <w15:docId w15:val="{F95F1E20-4E6F-49F2-9427-52C6B4CD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21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175E8C"/>
    <w:pPr>
      <w:keepNext/>
      <w:outlineLvl w:val="1"/>
    </w:pPr>
    <w:rPr>
      <w:i/>
      <w:iCs/>
      <w:color w:val="000000"/>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unhideWhenUsed/>
    <w:rsid w:val="00DF3213"/>
    <w:pPr>
      <w:spacing w:after="120" w:line="480" w:lineRule="auto"/>
      <w:ind w:left="283"/>
    </w:pPr>
  </w:style>
  <w:style w:type="character" w:customStyle="1" w:styleId="22">
    <w:name w:val="Основной текст с отступом 2 Знак"/>
    <w:basedOn w:val="a0"/>
    <w:link w:val="21"/>
    <w:uiPriority w:val="99"/>
    <w:rsid w:val="00DF3213"/>
    <w:rPr>
      <w:rFonts w:ascii="Times New Roman" w:eastAsia="Times New Roman" w:hAnsi="Times New Roman" w:cs="Times New Roman"/>
      <w:sz w:val="20"/>
      <w:szCs w:val="20"/>
      <w:lang w:eastAsia="ru-RU"/>
    </w:rPr>
  </w:style>
  <w:style w:type="paragraph" w:customStyle="1" w:styleId="Style4">
    <w:name w:val="Style4"/>
    <w:basedOn w:val="a"/>
    <w:uiPriority w:val="99"/>
    <w:rsid w:val="00DF3213"/>
    <w:pPr>
      <w:widowControl w:val="0"/>
      <w:autoSpaceDE w:val="0"/>
      <w:autoSpaceDN w:val="0"/>
      <w:adjustRightInd w:val="0"/>
      <w:spacing w:line="221" w:lineRule="exact"/>
    </w:pPr>
    <w:rPr>
      <w:rFonts w:ascii="Arial" w:hAnsi="Arial"/>
      <w:sz w:val="24"/>
      <w:szCs w:val="24"/>
    </w:rPr>
  </w:style>
  <w:style w:type="character" w:customStyle="1" w:styleId="hps">
    <w:name w:val="hps"/>
    <w:uiPriority w:val="99"/>
    <w:rsid w:val="00DF3213"/>
  </w:style>
  <w:style w:type="character" w:customStyle="1" w:styleId="shorttext">
    <w:name w:val="short_text"/>
    <w:uiPriority w:val="99"/>
    <w:rsid w:val="00DF3213"/>
  </w:style>
  <w:style w:type="character" w:customStyle="1" w:styleId="hpsatn">
    <w:name w:val="hps atn"/>
    <w:uiPriority w:val="99"/>
    <w:rsid w:val="00DF3213"/>
  </w:style>
  <w:style w:type="paragraph" w:styleId="a3">
    <w:name w:val="List Paragraph"/>
    <w:basedOn w:val="a"/>
    <w:uiPriority w:val="34"/>
    <w:qFormat/>
    <w:rsid w:val="000E3424"/>
    <w:pPr>
      <w:ind w:left="720"/>
      <w:contextualSpacing/>
    </w:pPr>
  </w:style>
  <w:style w:type="character" w:customStyle="1" w:styleId="20">
    <w:name w:val="Заголовок 2 Знак"/>
    <w:basedOn w:val="a0"/>
    <w:link w:val="2"/>
    <w:uiPriority w:val="99"/>
    <w:rsid w:val="00175E8C"/>
    <w:rPr>
      <w:rFonts w:ascii="Times New Roman" w:eastAsia="Times New Roman" w:hAnsi="Times New Roman" w:cs="Times New Roman"/>
      <w:i/>
      <w:iCs/>
      <w:color w:val="000000"/>
      <w:sz w:val="28"/>
      <w:szCs w:val="20"/>
      <w:lang w:val="uk-UA"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qFormat/>
    <w:rsid w:val="00372E84"/>
    <w:pPr>
      <w:spacing w:before="100" w:beforeAutospacing="1" w:after="100" w:afterAutospacing="1"/>
    </w:pPr>
    <w:rPr>
      <w:rFonts w:eastAsia="MS Mincho"/>
      <w:sz w:val="24"/>
      <w:szCs w:val="24"/>
      <w:lang w:eastAsia="ja-JP"/>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rsid w:val="00372E84"/>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40239">
      <w:bodyDiv w:val="1"/>
      <w:marLeft w:val="0"/>
      <w:marRight w:val="0"/>
      <w:marTop w:val="0"/>
      <w:marBottom w:val="0"/>
      <w:divBdr>
        <w:top w:val="none" w:sz="0" w:space="0" w:color="auto"/>
        <w:left w:val="none" w:sz="0" w:space="0" w:color="auto"/>
        <w:bottom w:val="none" w:sz="0" w:space="0" w:color="auto"/>
        <w:right w:val="none" w:sz="0" w:space="0" w:color="auto"/>
      </w:divBdr>
    </w:div>
    <w:div w:id="931669107">
      <w:bodyDiv w:val="1"/>
      <w:marLeft w:val="0"/>
      <w:marRight w:val="0"/>
      <w:marTop w:val="0"/>
      <w:marBottom w:val="0"/>
      <w:divBdr>
        <w:top w:val="none" w:sz="0" w:space="0" w:color="auto"/>
        <w:left w:val="none" w:sz="0" w:space="0" w:color="auto"/>
        <w:bottom w:val="none" w:sz="0" w:space="0" w:color="auto"/>
        <w:right w:val="none" w:sz="0" w:space="0" w:color="auto"/>
      </w:divBdr>
    </w:div>
    <w:div w:id="1258247505">
      <w:bodyDiv w:val="1"/>
      <w:marLeft w:val="0"/>
      <w:marRight w:val="0"/>
      <w:marTop w:val="0"/>
      <w:marBottom w:val="0"/>
      <w:divBdr>
        <w:top w:val="none" w:sz="0" w:space="0" w:color="auto"/>
        <w:left w:val="none" w:sz="0" w:space="0" w:color="auto"/>
        <w:bottom w:val="none" w:sz="0" w:space="0" w:color="auto"/>
        <w:right w:val="none" w:sz="0" w:space="0" w:color="auto"/>
      </w:divBdr>
    </w:div>
    <w:div w:id="20982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Tender</cp:lastModifiedBy>
  <cp:revision>10</cp:revision>
  <dcterms:created xsi:type="dcterms:W3CDTF">2021-02-08T11:08:00Z</dcterms:created>
  <dcterms:modified xsi:type="dcterms:W3CDTF">2024-02-14T15:42:00Z</dcterms:modified>
</cp:coreProperties>
</file>