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0" w:leader="none"/>
          <w:tab w:val="center" w:pos="4153" w:leader="none"/>
          <w:tab w:val="right" w:pos="8306" w:leader="none"/>
        </w:tabs>
        <w:spacing w:lineRule="auto" w:line="240"/>
        <w:ind w:hanging="0"/>
        <w:jc w:val="both"/>
        <w:rPr>
          <w:rFonts w:ascii="Calibri" w:hAnsi="Calibri" w:eastAsia="Calibri"/>
        </w:rPr>
      </w:pPr>
      <w:r>
        <w:rPr>
          <w:rFonts w:eastAsia="Calibri"/>
        </w:rPr>
      </w:r>
    </w:p>
    <w:p>
      <w:pPr>
        <w:pStyle w:val="Normal"/>
        <w:widowControl/>
        <w:suppressAutoHyphens w:val="true"/>
        <w:bidi w:val="0"/>
        <w:spacing w:lineRule="auto" w:line="240" w:before="0" w:after="0"/>
        <w:ind w:left="6209" w:right="0" w:hanging="0"/>
        <w:jc w:val="right"/>
        <w:rPr>
          <w:rFonts w:ascii="Times New Roman" w:hAnsi="Times New Roman" w:eastAsia="Times New Roman"/>
          <w:sz w:val="24"/>
          <w:szCs w:val="24"/>
        </w:rPr>
      </w:pPr>
      <w:r>
        <w:rPr>
          <w:rFonts w:eastAsia="Times New Roman" w:ascii="Times New Roman" w:hAnsi="Times New Roman"/>
          <w:b/>
          <w:color w:val="000000"/>
          <w:sz w:val="24"/>
          <w:szCs w:val="24"/>
          <w:lang w:val="ru-RU"/>
        </w:rPr>
        <w:t>ДОДАТОК</w:t>
      </w:r>
      <w:r>
        <w:rPr>
          <w:rFonts w:eastAsia="Times New Roman" w:ascii="Times New Roman" w:hAnsi="Times New Roman"/>
          <w:b/>
          <w:color w:val="000000"/>
          <w:sz w:val="24"/>
          <w:szCs w:val="24"/>
        </w:rPr>
        <w:t xml:space="preserve"> </w:t>
      </w:r>
      <w:r>
        <w:rPr>
          <w:rFonts w:eastAsia="Times New Roman" w:ascii="Times New Roman" w:hAnsi="Times New Roman"/>
          <w:b/>
          <w:color w:val="000000"/>
          <w:sz w:val="24"/>
          <w:szCs w:val="24"/>
          <w:lang w:val="ru-RU"/>
        </w:rPr>
        <w:t xml:space="preserve">2 </w:t>
      </w:r>
      <w:r>
        <w:rPr>
          <w:rFonts w:eastAsia="Times New Roman" w:ascii="Times New Roman" w:hAnsi="Times New Roman"/>
          <w:b/>
          <w:color w:val="000000"/>
          <w:sz w:val="24"/>
          <w:szCs w:val="24"/>
          <w:lang w:val="ru-RU"/>
        </w:rPr>
        <w:t>(внесено зміни 14.03.2024, Протокол  від 14.03.2024 №65)</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shd w:fill="auto" w:val="clear"/>
        </w:rPr>
      </w:pPr>
      <w:r>
        <w:rPr>
          <w:rFonts w:eastAsia="Times New Roman" w:ascii="Times New Roman" w:hAnsi="Times New Roman"/>
          <w:b/>
          <w:color w:val="000000"/>
          <w:sz w:val="24"/>
          <w:szCs w:val="24"/>
          <w:u w:val="single"/>
          <w:shd w:fill="auto" w:val="clear"/>
          <w:lang w:val="uk-UA" w:bidi="ar-SA"/>
        </w:rPr>
        <w:t>Інформація про технічні, якісні та інші характеристики предмета закупівлі</w:t>
      </w:r>
    </w:p>
    <w:p>
      <w:pPr>
        <w:pStyle w:val="Normal"/>
        <w:spacing w:lineRule="atLeast" w:line="0" w:before="0" w:after="0"/>
        <w:jc w:val="center"/>
        <w:rPr>
          <w:rFonts w:ascii="Times New Roman" w:hAnsi="Times New Roman"/>
          <w:b/>
          <w:b/>
          <w:bCs/>
          <w:i/>
          <w:i/>
          <w:iCs/>
          <w:shd w:fill="auto" w:val="clear"/>
          <w:lang w:val="uk-UA" w:bidi="ar-SA"/>
        </w:rPr>
      </w:pPr>
      <w:r>
        <w:rPr>
          <w:rFonts w:eastAsia="Times New Roman" w:ascii="Times New Roman" w:hAnsi="Times New Roman"/>
          <w:b/>
          <w:bCs/>
          <w:i/>
          <w:iCs/>
          <w:color w:val="000000"/>
          <w:sz w:val="24"/>
          <w:szCs w:val="24"/>
          <w:shd w:fill="auto" w:val="clear"/>
          <w:lang w:val="uk-UA" w:bidi="ar-SA"/>
        </w:rPr>
        <w:t>Установка стоматологічна</w:t>
      </w:r>
    </w:p>
    <w:p>
      <w:pPr>
        <w:pStyle w:val="Normal"/>
        <w:spacing w:lineRule="atLeast" w:line="0" w:before="0" w:after="0"/>
        <w:jc w:val="center"/>
        <w:rPr>
          <w:rFonts w:ascii="Times New Roman" w:hAnsi="Times New Roman"/>
          <w:b/>
          <w:b/>
          <w:bCs/>
          <w:i/>
          <w:i/>
          <w:iCs/>
          <w:shd w:fill="auto" w:val="clear"/>
          <w:lang w:val="uk-UA" w:bidi="ar-SA"/>
        </w:rPr>
      </w:pPr>
      <w:r>
        <w:rPr>
          <w:rFonts w:eastAsia="Times New Roman" w:ascii="Times New Roman" w:hAnsi="Times New Roman"/>
          <w:b/>
          <w:bCs/>
          <w:i/>
          <w:iCs/>
          <w:color w:val="000000"/>
          <w:sz w:val="24"/>
          <w:szCs w:val="24"/>
          <w:shd w:fill="auto" w:val="clear"/>
          <w:lang w:val="uk-UA" w:bidi="ar-SA"/>
        </w:rPr>
        <w:t>(Код ДК 021:2015- 33192400-6-Автоматизовані робочі місця стоматолога)</w:t>
      </w:r>
    </w:p>
    <w:p>
      <w:pPr>
        <w:pStyle w:val="Normal"/>
        <w:spacing w:lineRule="atLeast" w:line="0" w:before="0" w:after="0"/>
        <w:jc w:val="center"/>
        <w:rPr>
          <w:rFonts w:ascii="Times New Roman" w:hAnsi="Times New Roman"/>
          <w:b/>
          <w:b/>
          <w:bCs/>
          <w:i/>
          <w:i/>
          <w:iCs/>
          <w:shd w:fill="auto" w:val="clear"/>
          <w:lang w:val="uk-UA" w:bidi="ar-SA"/>
        </w:rPr>
      </w:pPr>
      <w:r>
        <w:rPr>
          <w:rFonts w:eastAsia="Times New Roman" w:ascii="Times New Roman" w:hAnsi="Times New Roman"/>
          <w:b/>
          <w:bCs/>
          <w:i/>
          <w:iCs/>
          <w:color w:val="000000"/>
          <w:sz w:val="24"/>
          <w:szCs w:val="24"/>
          <w:shd w:fill="auto" w:val="clear"/>
          <w:lang w:val="uk-UA" w:bidi="ar-SA"/>
        </w:rPr>
        <w:t>Класифікація за НК 024:2023 "Класифікатор медичних виробів": 60930 — Установка стоматологічна, портативна</w:t>
      </w:r>
    </w:p>
    <w:p>
      <w:pPr>
        <w:pStyle w:val="Normal"/>
        <w:spacing w:lineRule="atLeast" w:line="0" w:before="0" w:after="0"/>
        <w:jc w:val="center"/>
        <w:rPr>
          <w:rFonts w:ascii="Times New Roman" w:hAnsi="Times New Roman"/>
          <w:b/>
          <w:b/>
          <w:bCs/>
          <w:i/>
          <w:i/>
          <w:iCs/>
          <w:shd w:fill="auto" w:val="clear"/>
          <w:lang w:val="uk-UA" w:bidi="ar-SA"/>
        </w:rPr>
      </w:pPr>
      <w:r>
        <w:rPr>
          <w:rFonts w:ascii="Times New Roman" w:hAnsi="Times New Roman"/>
          <w:b/>
          <w:bCs/>
          <w:i/>
          <w:iCs/>
          <w:shd w:fill="auto" w:val="clear"/>
          <w:lang w:val="uk-UA" w:bidi="ar-SA"/>
        </w:rPr>
      </w:r>
    </w:p>
    <w:p>
      <w:pPr>
        <w:pStyle w:val="Normal"/>
        <w:widowControl/>
        <w:suppressAutoHyphens w:val="true"/>
        <w:bidi w:val="0"/>
        <w:ind w:left="0" w:right="0" w:firstLine="360"/>
        <w:jc w:val="left"/>
        <w:rPr>
          <w:shd w:fill="auto" w:val="clear"/>
        </w:rPr>
      </w:pPr>
      <w:r>
        <w:rPr>
          <w:rFonts w:cs="Times New Roman" w:ascii="Times New Roman" w:hAnsi="Times New Roman"/>
          <w:b w:val="false"/>
          <w:bCs w:val="false"/>
          <w:i w:val="false"/>
          <w:iCs w:val="false"/>
          <w:sz w:val="24"/>
          <w:szCs w:val="24"/>
          <w:shd w:fill="auto" w:val="clear"/>
        </w:rPr>
        <w:t>Все обладнання медичного призначення, що пропонується, повинно мати дозвільні документи до використання в медичній практиці згідно діючого законодавства.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(надати гарантійний лист від Учасника).</w:t>
      </w:r>
    </w:p>
    <w:p>
      <w:pPr>
        <w:pStyle w:val="Standard"/>
        <w:widowControl/>
        <w:suppressAutoHyphens w:val="true"/>
        <w:bidi w:val="0"/>
        <w:spacing w:lineRule="atLeast" w:line="100" w:before="0" w:after="0"/>
        <w:ind w:left="0" w:right="0" w:firstLine="360"/>
        <w:jc w:val="both"/>
        <w:rPr>
          <w:b/>
          <w:b/>
          <w:bCs/>
          <w:shd w:fill="auto" w:val="clear"/>
        </w:rPr>
      </w:pPr>
      <w:r>
        <w:rPr>
          <w:rFonts w:eastAsia="Times New Roman" w:cs="Times New Roman"/>
          <w:b/>
          <w:bCs/>
          <w:i w:val="false"/>
          <w:iCs w:val="false"/>
          <w:sz w:val="24"/>
          <w:szCs w:val="24"/>
          <w:shd w:fill="auto" w:val="clear"/>
          <w:lang w:eastAsia="ru-RU"/>
        </w:rPr>
        <w:t>Витрати з транспортування, розвантаження, складання і розвантаження, підключення устаткування та навчання медичного персоналу-введення в експлуатацію медичного обладнання проводиться безпосередньо за рахунок Учасника</w:t>
      </w:r>
      <w:r>
        <w:rPr>
          <w:rFonts w:eastAsia="Times New Roman" w:cs="Times New Roman"/>
          <w:b/>
          <w:bCs/>
          <w:i w:val="false"/>
          <w:iCs w:val="false"/>
          <w:sz w:val="24"/>
          <w:szCs w:val="24"/>
          <w:shd w:fill="auto" w:val="clear"/>
          <w:lang w:eastAsia="en-US"/>
        </w:rPr>
        <w:t>.</w:t>
      </w:r>
    </w:p>
    <w:p>
      <w:pPr>
        <w:pStyle w:val="Standard"/>
        <w:spacing w:lineRule="atLeast" w:line="100" w:before="0" w:after="0"/>
        <w:jc w:val="both"/>
        <w:rPr>
          <w:rFonts w:ascii="Times New Roman" w:hAnsi="Times New Roman" w:eastAsia="Times New Roman" w:cs="Times New Roman"/>
          <w:i w:val="false"/>
          <w:i w:val="false"/>
          <w:iCs w:val="false"/>
          <w:sz w:val="24"/>
          <w:szCs w:val="24"/>
          <w:lang w:eastAsia="en-US"/>
        </w:rPr>
      </w:pPr>
      <w:r>
        <w:rPr>
          <w:rFonts w:eastAsia="Times New Roman" w:cs="Times New Roman"/>
          <w:i w:val="false"/>
          <w:iCs w:val="false"/>
          <w:sz w:val="24"/>
          <w:szCs w:val="24"/>
          <w:lang w:eastAsia="en-US"/>
        </w:rPr>
      </w:r>
    </w:p>
    <w:p>
      <w:pPr>
        <w:pStyle w:val="NormalWeb"/>
        <w:numPr>
          <w:ilvl w:val="0"/>
          <w:numId w:val="0"/>
        </w:numPr>
        <w:spacing w:before="0" w:after="0"/>
        <w:ind w:left="720" w:hanging="0"/>
        <w:jc w:val="center"/>
        <w:rPr>
          <w:b/>
          <w:b/>
          <w:bCs/>
          <w:i/>
          <w:i/>
          <w:iCs/>
          <w:sz w:val="24"/>
          <w:szCs w:val="24"/>
          <w:u w:val="single"/>
        </w:rPr>
      </w:pPr>
      <w:r>
        <w:rPr>
          <w:b/>
          <w:bCs/>
          <w:i/>
          <w:iCs/>
          <w:sz w:val="24"/>
          <w:szCs w:val="24"/>
          <w:u w:val="single"/>
        </w:rPr>
        <w:t>Загальні вимоги:</w:t>
      </w:r>
    </w:p>
    <w:p>
      <w:pPr>
        <w:pStyle w:val="NormalWeb"/>
        <w:numPr>
          <w:ilvl w:val="0"/>
          <w:numId w:val="0"/>
        </w:numPr>
        <w:spacing w:before="0" w:after="0"/>
        <w:ind w:left="720" w:hanging="0"/>
        <w:jc w:val="center"/>
        <w:rPr>
          <w:b/>
          <w:b/>
          <w:bCs/>
          <w:i/>
          <w:i/>
          <w:iCs/>
          <w:sz w:val="24"/>
          <w:szCs w:val="24"/>
          <w:u w:val="single"/>
        </w:rPr>
      </w:pPr>
      <w:r>
        <w:rPr>
          <w:b/>
          <w:bCs/>
          <w:i/>
          <w:iCs/>
          <w:sz w:val="24"/>
          <w:szCs w:val="24"/>
          <w:u w:val="single"/>
        </w:rPr>
      </w:r>
    </w:p>
    <w:p>
      <w:pPr>
        <w:pStyle w:val="Normal"/>
        <w:numPr>
          <w:ilvl w:val="0"/>
          <w:numId w:val="0"/>
        </w:numPr>
        <w:spacing w:lineRule="auto" w:line="276"/>
        <w:ind w:left="720" w:hanging="0"/>
        <w:jc w:val="both"/>
        <w:rPr>
          <w:b w:val="false"/>
          <w:b w:val="false"/>
          <w:bCs w:val="false"/>
          <w:sz w:val="24"/>
          <w:szCs w:val="24"/>
        </w:rPr>
      </w:pPr>
      <w:r>
        <w:rPr>
          <w:rFonts w:cs="Times New Roman" w:ascii="Times New Roman" w:hAnsi="Times New Roman"/>
          <w:b w:val="false"/>
          <w:bCs w:val="false"/>
          <w:sz w:val="24"/>
          <w:szCs w:val="24"/>
        </w:rPr>
        <w:t xml:space="preserve">1. </w:t>
      </w:r>
      <w:r>
        <w:rPr>
          <w:rFonts w:cs="Times New Roman" w:ascii="Times New Roman" w:hAnsi="Times New Roman"/>
          <w:b w:val="false"/>
          <w:bCs w:val="false"/>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предмета закупівлі, встановленим</w:t>
      </w:r>
      <w:r>
        <w:rPr>
          <w:rFonts w:cs="Times New Roman" w:ascii="Times New Roman" w:hAnsi="Times New Roman"/>
          <w:b w:val="false"/>
          <w:bCs w:val="false"/>
          <w:sz w:val="24"/>
          <w:szCs w:val="24"/>
        </w:rPr>
        <w:t xml:space="preserve"> у даному додатку та всіх інших вимог Тендерної Документації.</w:t>
      </w:r>
    </w:p>
    <w:p>
      <w:pPr>
        <w:pStyle w:val="Normal"/>
        <w:numPr>
          <w:ilvl w:val="0"/>
          <w:numId w:val="1"/>
        </w:numPr>
        <w:spacing w:lineRule="auto" w:line="276"/>
        <w:jc w:val="both"/>
        <w:rPr>
          <w:b w:val="false"/>
          <w:b w:val="false"/>
          <w:bCs w:val="false"/>
          <w:sz w:val="24"/>
          <w:szCs w:val="24"/>
        </w:rPr>
      </w:pPr>
      <w:r>
        <w:rPr>
          <w:rFonts w:cs="Times New Roman" w:ascii="Times New Roman" w:hAnsi="Times New Roman"/>
          <w:b w:val="false"/>
          <w:bCs w:val="false"/>
          <w:i/>
          <w:sz w:val="24"/>
          <w:szCs w:val="24"/>
        </w:rPr>
        <w:tab/>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pPr>
        <w:pStyle w:val="Normal"/>
        <w:numPr>
          <w:ilvl w:val="0"/>
          <w:numId w:val="0"/>
        </w:numPr>
        <w:spacing w:lineRule="auto" w:line="276"/>
        <w:ind w:left="720" w:hanging="0"/>
        <w:jc w:val="both"/>
        <w:rPr>
          <w:b w:val="false"/>
          <w:b w:val="false"/>
          <w:bCs w:val="false"/>
          <w:sz w:val="24"/>
          <w:szCs w:val="24"/>
        </w:rPr>
      </w:pPr>
      <w:r>
        <w:rPr>
          <w:rFonts w:cs="Times New Roman" w:ascii="Times New Roman" w:hAnsi="Times New Roman"/>
          <w:b w:val="false"/>
          <w:bCs w:val="false"/>
          <w:sz w:val="24"/>
          <w:szCs w:val="24"/>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 з моменту вводу його в експлуатацію.</w:t>
      </w:r>
    </w:p>
    <w:p>
      <w:pPr>
        <w:pStyle w:val="Normal"/>
        <w:numPr>
          <w:ilvl w:val="0"/>
          <w:numId w:val="1"/>
        </w:numPr>
        <w:spacing w:lineRule="auto" w:line="276"/>
        <w:jc w:val="both"/>
        <w:rPr>
          <w:b w:val="false"/>
          <w:b w:val="false"/>
          <w:bCs w:val="false"/>
          <w:sz w:val="24"/>
          <w:szCs w:val="24"/>
        </w:rPr>
      </w:pPr>
      <w:r>
        <w:rPr>
          <w:rFonts w:cs="Times New Roman" w:ascii="Times New Roman" w:hAnsi="Times New Roman"/>
          <w:b w:val="false"/>
          <w:bCs w:val="false"/>
          <w:i/>
          <w:sz w:val="24"/>
          <w:szCs w:val="24"/>
        </w:rPr>
        <w:tab/>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 з моменту вводу його в експлуатацію</w:t>
      </w:r>
      <w:r>
        <w:rPr>
          <w:rFonts w:cs="Times New Roman" w:ascii="Times New Roman" w:hAnsi="Times New Roman"/>
          <w:b w:val="false"/>
          <w:bCs w:val="false"/>
          <w:sz w:val="24"/>
          <w:szCs w:val="24"/>
        </w:rPr>
        <w:t>.</w:t>
      </w:r>
    </w:p>
    <w:p>
      <w:pPr>
        <w:pStyle w:val="Normal"/>
        <w:numPr>
          <w:ilvl w:val="0"/>
          <w:numId w:val="0"/>
        </w:numPr>
        <w:spacing w:lineRule="auto" w:line="276"/>
        <w:ind w:left="720" w:hanging="0"/>
        <w:jc w:val="both"/>
        <w:rPr>
          <w:b w:val="false"/>
          <w:b w:val="false"/>
          <w:bCs w:val="false"/>
          <w:sz w:val="24"/>
          <w:szCs w:val="24"/>
        </w:rPr>
      </w:pPr>
      <w:r>
        <w:rPr>
          <w:rFonts w:cs="Times New Roman" w:ascii="Times New Roman" w:hAnsi="Times New Roman"/>
          <w:b w:val="false"/>
          <w:bCs w:val="false"/>
          <w:sz w:val="24"/>
          <w:szCs w:val="24"/>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pPr>
        <w:pStyle w:val="Normal"/>
        <w:numPr>
          <w:ilvl w:val="0"/>
          <w:numId w:val="1"/>
        </w:numPr>
        <w:spacing w:lineRule="auto" w:line="276" w:before="0" w:after="0"/>
        <w:jc w:val="both"/>
        <w:rPr>
          <w:b w:val="false"/>
          <w:b w:val="false"/>
          <w:bCs w:val="false"/>
          <w:sz w:val="24"/>
          <w:szCs w:val="24"/>
          <w:shd w:fill="auto" w:val="clear"/>
        </w:rPr>
      </w:pPr>
      <w:r>
        <w:rPr>
          <w:rFonts w:eastAsia="Times New Roman" w:cs="Times New Roman" w:ascii="Times New Roman" w:hAnsi="Times New Roman"/>
          <w:b w:val="false"/>
          <w:bCs w:val="false"/>
          <w:i/>
          <w:iCs w:val="false"/>
          <w:sz w:val="24"/>
          <w:szCs w:val="24"/>
          <w:shd w:fill="auto" w:val="clear"/>
          <w:lang w:eastAsia="en-US"/>
        </w:rPr>
        <w:tab/>
        <w:t xml:space="preserve">На підтвердження Учасник повинен надати файл відсканований з </w:t>
      </w:r>
      <w:r>
        <w:rPr>
          <w:rFonts w:eastAsia="Times New Roman" w:cs="Times New Roman" w:ascii="Times New Roman" w:hAnsi="Times New Roman"/>
          <w:b w:val="false"/>
          <w:bCs w:val="false"/>
          <w:i/>
          <w:iCs w:val="false"/>
          <w:spacing w:val="1"/>
          <w:sz w:val="24"/>
          <w:szCs w:val="24"/>
          <w:shd w:fill="auto" w:val="clear"/>
          <w:lang w:eastAsia="en-US"/>
        </w:rPr>
        <w:t xml:space="preserve">Оригіналу </w:t>
      </w:r>
      <w:r>
        <w:rPr>
          <w:rFonts w:eastAsia="Times New Roman" w:cs="Times New Roman" w:ascii="Times New Roman" w:hAnsi="Times New Roman"/>
          <w:b w:val="false"/>
          <w:bCs w:val="false"/>
          <w:i/>
          <w:iCs w:val="false"/>
          <w:sz w:val="24"/>
          <w:szCs w:val="24"/>
          <w:shd w:fill="auto" w:val="clear"/>
          <w:lang w:eastAsia="en-US"/>
        </w:rPr>
        <w:t>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w:t>
      </w:r>
    </w:p>
    <w:p>
      <w:pPr>
        <w:pStyle w:val="Normal"/>
        <w:numPr>
          <w:ilvl w:val="0"/>
          <w:numId w:val="0"/>
        </w:numPr>
        <w:spacing w:lineRule="auto" w:line="276"/>
        <w:ind w:left="720" w:hanging="0"/>
        <w:jc w:val="both"/>
        <w:rPr>
          <w:rFonts w:ascii="Times New Roman" w:hAnsi="Times New Roman" w:cs="Times New Roman"/>
          <w:sz w:val="24"/>
          <w:szCs w:val="24"/>
        </w:rPr>
      </w:pPr>
      <w:r>
        <w:rPr>
          <w:rFonts w:cs="Times New Roman" w:ascii="Times New Roman" w:hAnsi="Times New Roman"/>
          <w:sz w:val="24"/>
          <w:szCs w:val="24"/>
        </w:rPr>
        <w:t>4. Учасник повинен провести інструктаж працівників Замовника по користуванню запропонованим обладнанням.</w:t>
      </w:r>
    </w:p>
    <w:p>
      <w:pPr>
        <w:pStyle w:val="Normal"/>
        <w:numPr>
          <w:ilvl w:val="0"/>
          <w:numId w:val="1"/>
        </w:numPr>
        <w:spacing w:lineRule="auto" w:line="276"/>
        <w:jc w:val="both"/>
        <w:rPr>
          <w:rFonts w:ascii="Times New Roman" w:hAnsi="Times New Roman" w:cs="Times New Roman"/>
          <w:i/>
          <w:i/>
          <w:sz w:val="24"/>
          <w:szCs w:val="24"/>
        </w:rPr>
      </w:pPr>
      <w:r>
        <w:rPr>
          <w:rFonts w:cs="Times New Roman" w:ascii="Times New Roman" w:hAnsi="Times New Roman"/>
          <w:i/>
          <w:sz w:val="24"/>
          <w:szCs w:val="24"/>
        </w:rPr>
        <w:tab/>
        <w:t>На підтвердження надати гарантійний лист про забезпечення інструктажу персоналу Замовника по користуванню (керуванню) обладнанням за місцем його експлуатації.</w:t>
      </w:r>
    </w:p>
    <w:p>
      <w:pPr>
        <w:pStyle w:val="Normal"/>
        <w:numPr>
          <w:ilvl w:val="0"/>
          <w:numId w:val="0"/>
        </w:numPr>
        <w:spacing w:lineRule="auto" w:line="276"/>
        <w:ind w:left="720" w:hanging="0"/>
        <w:jc w:val="both"/>
        <w:rPr>
          <w:rFonts w:ascii="Times New Roman" w:hAnsi="Times New Roman" w:cs="Times New Roman"/>
          <w:sz w:val="24"/>
          <w:szCs w:val="24"/>
        </w:rPr>
      </w:pPr>
      <w:r>
        <w:rPr>
          <w:rFonts w:cs="Times New Roman" w:ascii="Times New Roman" w:hAnsi="Times New Roman"/>
          <w:sz w:val="24"/>
          <w:szCs w:val="24"/>
        </w:rPr>
        <w:t xml:space="preserve">5. </w:t>
        <w:tab/>
        <w:t xml:space="preserve">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pPr>
        <w:pStyle w:val="Normal"/>
        <w:numPr>
          <w:ilvl w:val="0"/>
          <w:numId w:val="1"/>
        </w:numPr>
        <w:spacing w:lineRule="auto" w:line="276"/>
        <w:jc w:val="both"/>
        <w:rPr>
          <w:rFonts w:ascii="Times New Roman" w:hAnsi="Times New Roman" w:cs="Times New Roman"/>
          <w:i/>
          <w:i/>
          <w:sz w:val="24"/>
          <w:szCs w:val="24"/>
        </w:rPr>
      </w:pPr>
      <w:r>
        <w:rPr>
          <w:rFonts w:cs="Times New Roman" w:ascii="Times New Roman" w:hAnsi="Times New Roman"/>
          <w:i/>
          <w:sz w:val="24"/>
          <w:szCs w:val="24"/>
        </w:rPr>
        <w:tab/>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pPr>
        <w:pStyle w:val="Normal"/>
        <w:numPr>
          <w:ilvl w:val="0"/>
          <w:numId w:val="0"/>
        </w:numPr>
        <w:spacing w:lineRule="auto" w:line="276"/>
        <w:ind w:left="720" w:hanging="0"/>
        <w:jc w:val="both"/>
        <w:rPr>
          <w:rFonts w:ascii="Times New Roman" w:hAnsi="Times New Roman" w:cs="Times New Roman"/>
          <w:sz w:val="24"/>
          <w:szCs w:val="24"/>
        </w:rPr>
      </w:pPr>
      <w:r>
        <w:rPr>
          <w:rFonts w:cs="Times New Roman" w:ascii="Times New Roman" w:hAnsi="Times New Roman"/>
          <w:sz w:val="24"/>
          <w:szCs w:val="24"/>
        </w:rPr>
        <w:t xml:space="preserve">6. </w:t>
        <w:tab/>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pPr>
        <w:pStyle w:val="Normal"/>
        <w:numPr>
          <w:ilvl w:val="0"/>
          <w:numId w:val="1"/>
        </w:numPr>
        <w:spacing w:lineRule="auto" w:line="276"/>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pPr>
        <w:pStyle w:val="Normal"/>
        <w:numPr>
          <w:ilvl w:val="0"/>
          <w:numId w:val="0"/>
        </w:numPr>
        <w:spacing w:lineRule="auto" w:line="276"/>
        <w:ind w:left="720" w:hanging="0"/>
        <w:jc w:val="both"/>
        <w:rPr>
          <w:rFonts w:ascii="Times New Roman" w:hAnsi="Times New Roman" w:cs="Times New Roman"/>
          <w:i/>
          <w:i/>
          <w:sz w:val="24"/>
          <w:szCs w:val="24"/>
        </w:rPr>
      </w:pPr>
      <w:r>
        <w:rPr>
          <w:rFonts w:cs="Times New Roman" w:ascii="Times New Roman" w:hAnsi="Times New Roman"/>
          <w:sz w:val="24"/>
          <w:szCs w:val="24"/>
        </w:rPr>
        <w:t xml:space="preserve">7. </w:t>
        <w:tab/>
        <w:t>Проведення доставки, ін</w:t>
      </w:r>
      <w:r>
        <w:rPr>
          <w:rFonts w:cs="Times New Roman" w:ascii="Times New Roman" w:hAnsi="Times New Roman"/>
          <w:sz w:val="24"/>
          <w:szCs w:val="24"/>
          <w:lang w:val="en-US"/>
        </w:rPr>
        <w:t>c</w:t>
      </w:r>
      <w:r>
        <w:rPr>
          <w:rFonts w:cs="Times New Roman" w:ascii="Times New Roman" w:hAnsi="Times New Roman"/>
          <w:sz w:val="24"/>
          <w:szCs w:val="24"/>
        </w:rPr>
        <w:t>таляції та пуску обладнання за рахунок Учасника.</w:t>
      </w:r>
    </w:p>
    <w:p>
      <w:pPr>
        <w:pStyle w:val="Normal"/>
        <w:numPr>
          <w:ilvl w:val="0"/>
          <w:numId w:val="1"/>
        </w:numPr>
        <w:spacing w:lineRule="auto" w:line="276"/>
        <w:ind w:left="426" w:hanging="426"/>
        <w:rPr>
          <w:rFonts w:ascii="Times New Roman" w:hAnsi="Times New Roman" w:cs="Times New Roman"/>
          <w:b/>
          <w:b/>
          <w:bCs/>
          <w:sz w:val="24"/>
          <w:szCs w:val="24"/>
        </w:rPr>
      </w:pPr>
      <w:r>
        <w:rPr>
          <w:rFonts w:cs="Times New Roman" w:ascii="Times New Roman" w:hAnsi="Times New Roman"/>
          <w:i/>
          <w:sz w:val="24"/>
          <w:szCs w:val="24"/>
        </w:rPr>
        <w:tab/>
        <w:t xml:space="preserve">На підтвердження Учасник повинен надати лист у довільний формі в якому зазначити, </w:t>
      </w:r>
      <w:r>
        <w:rPr>
          <w:rFonts w:eastAsia="Times New Roman" w:cs="Times New Roman" w:ascii="Times New Roman" w:hAnsi="Times New Roman"/>
          <w:b w:val="false"/>
          <w:bCs w:val="false"/>
          <w:i/>
          <w:iCs w:val="false"/>
          <w:sz w:val="24"/>
          <w:szCs w:val="24"/>
          <w:shd w:fill="auto" w:val="clear"/>
          <w:lang w:eastAsia="en-US"/>
        </w:rPr>
        <w:t>що запропонований Товар буде доставлено та інстальовано за рахунок Учасника.</w:t>
      </w:r>
    </w:p>
    <w:p>
      <w:pPr>
        <w:pStyle w:val="Normal"/>
        <w:widowControl/>
        <w:suppressAutoHyphens w:val="true"/>
        <w:bidi w:val="0"/>
        <w:spacing w:lineRule="auto" w:line="276" w:before="0" w:after="200"/>
        <w:ind w:left="269" w:right="0" w:firstLine="269"/>
        <w:jc w:val="both"/>
        <w:rPr>
          <w:shd w:fill="auto" w:val="clear"/>
        </w:rPr>
      </w:pPr>
      <w:r>
        <w:rPr>
          <w:rFonts w:cs="Times New Roman" w:ascii="Times New Roman" w:hAnsi="Times New Roman"/>
          <w:b w:val="false"/>
          <w:bCs w:val="false"/>
          <w:i w:val="false"/>
          <w:iCs w:val="false"/>
          <w:sz w:val="24"/>
          <w:szCs w:val="24"/>
          <w:shd w:fill="auto" w:val="clear"/>
        </w:rPr>
        <w:t>8. Приймання товару проводиться з обов’язковим виконанням вхідного контролю та візуального огляду. У випадку наявності претензій по якості та комплектності, Товар не підлягає використанню до взаємного врегулювання питань. У разі вмотивованих претензій Замовника щодо якості або комплектності Товару, в триденний строк з моменту прибуття повноважного представника Постачальника складається двосторонній акт із переліком необхідних доробок та строків їх виконання.</w:t>
      </w:r>
    </w:p>
    <w:p>
      <w:pPr>
        <w:pStyle w:val="Normal"/>
        <w:widowControl/>
        <w:suppressAutoHyphens w:val="true"/>
        <w:bidi w:val="0"/>
        <w:spacing w:lineRule="auto" w:line="276" w:before="0" w:after="200"/>
        <w:ind w:left="269" w:right="0" w:firstLine="269"/>
        <w:jc w:val="both"/>
        <w:rPr>
          <w:shd w:fill="auto" w:val="clear"/>
        </w:rPr>
      </w:pPr>
      <w:r>
        <w:rPr>
          <w:rFonts w:cs="Times New Roman" w:ascii="Times New Roman" w:hAnsi="Times New Roman"/>
          <w:b w:val="false"/>
          <w:bCs w:val="false"/>
          <w:i w:val="false"/>
          <w:iCs w:val="false"/>
          <w:sz w:val="24"/>
          <w:szCs w:val="24"/>
          <w:shd w:fill="auto" w:val="clear"/>
        </w:rPr>
        <w:t>9. Відповідальність за виконання вимог екологічної безпеки та вимог із забезпечення вимог техніки безпеки при постачанні товару несе Учасник.</w:t>
      </w:r>
    </w:p>
    <w:p>
      <w:pPr>
        <w:pStyle w:val="Style36"/>
        <w:spacing w:lineRule="atLeast" w:line="0" w:before="0" w:after="0"/>
        <w:jc w:val="both"/>
        <w:rPr>
          <w:rFonts w:ascii="Times New Roman" w:hAnsi="Times New Roman" w:eastAsia="Times New Roman" w:cs="Times New Roman"/>
          <w:b w:val="false"/>
          <w:b w:val="false"/>
          <w:bCs w:val="false"/>
          <w:i w:val="false"/>
          <w:i w:val="false"/>
          <w:iCs w:val="false"/>
          <w:sz w:val="24"/>
          <w:szCs w:val="24"/>
          <w:lang w:val="uk-UA" w:eastAsia="en-US" w:bidi="ar-SA"/>
        </w:rPr>
      </w:pPr>
      <w:r>
        <w:rPr>
          <w:rFonts w:eastAsia="Times New Roman" w:cs="Times New Roman" w:ascii="Times New Roman" w:hAnsi="Times New Roman"/>
          <w:b w:val="false"/>
          <w:bCs w:val="false"/>
          <w:i w:val="false"/>
          <w:iCs w:val="false"/>
          <w:sz w:val="24"/>
          <w:szCs w:val="24"/>
          <w:lang w:val="uk-UA" w:eastAsia="en-US" w:bidi="ar-SA"/>
        </w:rPr>
      </w:r>
    </w:p>
    <w:p>
      <w:pPr>
        <w:pStyle w:val="Normal"/>
        <w:spacing w:lineRule="atLeast" w:line="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0" w:before="0" w:after="0"/>
        <w:jc w:val="center"/>
        <w:rPr>
          <w:rFonts w:ascii="Times New Roman" w:hAnsi="Times New Roman" w:cs="Times New Roman"/>
          <w:b/>
          <w:b/>
          <w:sz w:val="24"/>
          <w:szCs w:val="24"/>
        </w:rPr>
      </w:pPr>
      <w:r>
        <w:rPr>
          <w:rFonts w:cs="Times New Roman" w:ascii="Times New Roman" w:hAnsi="Times New Roman"/>
          <w:b/>
          <w:sz w:val="24"/>
          <w:szCs w:val="24"/>
        </w:rPr>
      </w:r>
    </w:p>
    <w:p>
      <w:pPr>
        <w:sectPr>
          <w:headerReference w:type="default" r:id="rId2"/>
          <w:type w:val="nextPage"/>
          <w:pgSz w:w="11906" w:h="16838"/>
          <w:pgMar w:left="1417" w:right="850" w:header="708" w:top="850" w:footer="0" w:bottom="850" w:gutter="0"/>
          <w:pgNumType w:fmt="decimal"/>
          <w:formProt w:val="false"/>
          <w:titlePg/>
          <w:textDirection w:val="lrTb"/>
          <w:docGrid w:type="default" w:linePitch="360" w:charSpace="8192"/>
        </w:sectPr>
        <w:pStyle w:val="Normal"/>
        <w:spacing w:lineRule="atLeast" w:line="0" w:before="0" w:after="0"/>
        <w:jc w:val="center"/>
        <w:rPr>
          <w:rFonts w:ascii="Times New Roman" w:hAnsi="Times New Roman" w:cs="Times New Roman"/>
          <w:b/>
          <w:b/>
          <w:sz w:val="24"/>
          <w:szCs w:val="24"/>
        </w:rPr>
      </w:pPr>
      <w:r>
        <w:rPr/>
      </w:r>
    </w:p>
    <w:tbl>
      <w:tblPr>
        <w:tblpPr w:bottomFromText="0" w:horzAnchor="margin" w:leftFromText="180" w:rightFromText="180" w:tblpX="0" w:tblpXSpec="center" w:tblpY="956" w:topFromText="0" w:vertAnchor="page"/>
        <w:tblW w:w="9900" w:type="dxa"/>
        <w:jc w:val="left"/>
        <w:tblInd w:w="-317" w:type="dxa"/>
        <w:tblLayout w:type="fixed"/>
        <w:tblCellMar>
          <w:top w:w="0" w:type="dxa"/>
          <w:left w:w="108" w:type="dxa"/>
          <w:bottom w:w="0" w:type="dxa"/>
          <w:right w:w="108" w:type="dxa"/>
        </w:tblCellMar>
        <w:tblLook w:firstRow="0" w:noVBand="0" w:lastRow="0" w:firstColumn="0" w:lastColumn="0" w:noHBand="0" w:val="0000"/>
      </w:tblPr>
      <w:tblGrid>
        <w:gridCol w:w="7511"/>
        <w:gridCol w:w="2389"/>
      </w:tblGrid>
      <w:tr>
        <w:trPr/>
        <w:tc>
          <w:tcPr>
            <w:tcW w:w="7511"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pacing w:lineRule="auto" w:line="240" w:before="240" w:after="60"/>
              <w:outlineLvl w:val="3"/>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Медико-технічні характеристики</w:t>
            </w:r>
          </w:p>
        </w:tc>
        <w:tc>
          <w:tcPr>
            <w:tcW w:w="23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Відповідність, вказати</w:t>
            </w:r>
          </w:p>
          <w:p>
            <w:pPr>
              <w:pStyle w:val="Normal"/>
              <w:widowControl w:val="false"/>
              <w:spacing w:lineRule="auto" w:line="240" w:before="0" w:after="0"/>
              <w:jc w:val="center"/>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ТАК/НІ,</w:t>
            </w:r>
          </w:p>
          <w:p>
            <w:pPr>
              <w:pStyle w:val="Normal"/>
              <w:widowControl w:val="false"/>
              <w:spacing w:lineRule="auto" w:line="240" w:before="0" w:after="0"/>
              <w:jc w:val="center"/>
              <w:rPr>
                <w:rFonts w:ascii="Times New Roman" w:hAnsi="Times New Roman" w:eastAsia="Times New Roman" w:cs="Times New Roman"/>
                <w:b/>
                <w:b/>
                <w:i/>
                <w:i/>
                <w:iCs/>
                <w:sz w:val="21"/>
                <w:szCs w:val="21"/>
                <w:lang w:val="uk-UA" w:eastAsia="ru-RU"/>
              </w:rPr>
            </w:pPr>
            <w:r>
              <w:rPr>
                <w:rFonts w:eastAsia="Times New Roman" w:cs="Times New Roman" w:ascii="Times New Roman" w:hAnsi="Times New Roman"/>
                <w:b/>
                <w:bCs/>
                <w:i/>
                <w:iCs/>
                <w:color w:val="000000"/>
                <w:sz w:val="21"/>
                <w:szCs w:val="21"/>
                <w:lang w:val="uk-UA" w:eastAsia="ru-RU"/>
              </w:rPr>
              <w:t>з посиланням на сторінку (пункт) відповідної технічної документації</w:t>
            </w:r>
          </w:p>
        </w:tc>
      </w:tr>
      <w:tr>
        <w:trPr/>
        <w:tc>
          <w:tcPr>
            <w:tcW w:w="99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strike/>
                <w:color w:val="FF0000"/>
                <w:sz w:val="24"/>
                <w:szCs w:val="24"/>
                <w:lang w:val="uk-UA" w:eastAsia="ru-RU"/>
              </w:rPr>
            </w:pPr>
            <w:r>
              <w:rPr>
                <w:rFonts w:eastAsia="Times New Roman" w:cs="Times New Roman" w:ascii="Times New Roman" w:hAnsi="Times New Roman"/>
                <w:b/>
                <w:sz w:val="24"/>
                <w:szCs w:val="24"/>
                <w:lang w:val="uk-UA" w:eastAsia="ru-RU"/>
              </w:rPr>
              <w:t>Загальні вимоги</w:t>
            </w:r>
          </w:p>
        </w:tc>
      </w:tr>
      <w:tr>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Під’єднання всіх комунікацій до стоматологічної установки (енергоблок) має бути в основі крісла</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Повинна забезпечувати можливість надання терапевтичної, хірургічної та ін. видів стоматологічної допомоги</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right" w:pos="6946" w:leader="none"/>
              </w:tabs>
              <w:spacing w:lineRule="auto" w:line="240" w:before="0" w:after="0"/>
              <w:ind w:right="-2" w:hanging="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Повинна мати можливість добудови і заміни інструментів і функцій</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Ступінь захисту від ураження електричним струмом: тип І модель В</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Включення і відключення комунікацій стоматологічної установки за допомогою ножної клавіші розташованої в основі крісла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Характеристики електроживлення</w:t>
            </w:r>
          </w:p>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АС 220-230В  50/60 Гц 350 ВА</w:t>
            </w:r>
          </w:p>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АС 110 В-120 В 50/60 Гц, 350 ВА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Тиск подачі повітря 0.2-0.4 МПа</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99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Базова комплектація</w:t>
            </w:r>
          </w:p>
        </w:tc>
      </w:tr>
      <w:tr>
        <w:trPr/>
        <w:tc>
          <w:tcPr>
            <w:tcW w:w="99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Крісло пацієнта</w:t>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Спинка крісла пацієнта повинна мати розширену плечову зону</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Три програмовані положення крісла</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Повернення до «нульового» положення</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Повернення до останнього робочого положення</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Артикуляційний підголівник</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Поліуретанове покриття, що витримує дію всіх дезінфекційних розчинів, використання яких дозволено в медичних закладах</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Фіксований лівий підлокітник</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Поворотний правий підлокітник</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Максимальна висота крісла не менше: 800 мм</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Мінімальна висота крісла не більше:  400 мм</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Діапазон руху спинки не гірше 109°- 172°</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sz w:val="24"/>
                <w:szCs w:val="24"/>
                <w:lang w:val="uk-UA" w:eastAsia="ru-RU"/>
              </w:rPr>
            </w:pPr>
            <w:r>
              <w:rPr>
                <w:rFonts w:eastAsia="Times New Roman" w:cs="Times New Roman" w:ascii="Times New Roman" w:hAnsi="Times New Roman"/>
                <w:sz w:val="24"/>
                <w:szCs w:val="24"/>
                <w:lang w:val="uk-UA" w:eastAsia="ru-RU"/>
              </w:rPr>
              <w:t>Діапазон нахилу підголівника не менше 0-100 мм</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Вантажопідйомність крісла не менше: 135 кг</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Керування з трьох місць (ножний джойстик, пульт асистента, столик лікаря)</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99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Блок лікаря</w:t>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Нижня подача інструментів</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Плече столика лікаря з рухами в горизонтальній та вертикальній площині з пневматичною фіксацією</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 шланги М4 з фіброоптикою</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Трифункційний пістолет (вода / повітря / спрей)</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Скалер Woodpecker в комплекті з 5 насадками стандарту EMS</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Мембранна 15-ти функційна панель</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 мембранної панелі забезпечується керування інструментами лікаря, світильником, функціями гідроблоку і крісла пацієнта</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На блоці лікаря повинна бути полиця для розміщення лотка з інструментами, тощо з силіконовим автоклавуємим килимком</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Компактний світлодіодний негатоскоп вбудований в блок лікаря</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Інтенсивність негатоскопу - ≥ 2000 кнд/м</w:t>
            </w:r>
            <w:r>
              <w:rPr>
                <w:rFonts w:eastAsia="Times New Roman" w:cs="Times New Roman" w:ascii="Times New Roman" w:hAnsi="Times New Roman"/>
                <w:sz w:val="24"/>
                <w:szCs w:val="24"/>
                <w:vertAlign w:val="superscript"/>
                <w:lang w:val="uk-UA" w:eastAsia="ru-RU"/>
              </w:rPr>
              <w:t>2</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99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Блок асистента лікаря</w:t>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Мембранна 10-ти функційна панель керування плювальницею та кріслом пацієнта</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8" w:hanging="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Слиновідсмоктувач</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8" w:hanging="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Пилосос</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Трифункційний пістолет (вода / повітря / спрей)</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Два додаткових резервних гнізда для розміщення фотополімерної лампи та іншого обладнання</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Полиця на блоці асистента для розміщення лотка з інструментами, тощо.</w:t>
            </w:r>
          </w:p>
        </w:tc>
        <w:tc>
          <w:tcPr>
            <w:tcW w:w="2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99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b/>
                <w:sz w:val="24"/>
                <w:szCs w:val="24"/>
                <w:lang w:val="uk-UA" w:eastAsia="ru-RU"/>
              </w:rPr>
              <w:t>Гідроблок</w:t>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Гідроблок навісного типу, рухається разом з кріслом пацієнта</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Можливість повороту гідроблоку на 60° для вільного доступу асистента до пацієнта</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 окремих герметичних фільтра для слиновідсмоктувача та для пилососу</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Внутрішня конструкція гідроблоку виготовлено із алюмінію</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Скляна з'ємна поворотна плювальниця чорного кольору</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Вбудований нагрівач води</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Бутиль для чистої води знаходиться ззовні гідроблоку</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Можливість розташування гідроблоку з правої та лівої сторони від крісла для зручної роботи лікарів-лівшів</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99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Стоматологічний світильник</w:t>
            </w:r>
          </w:p>
        </w:tc>
      </w:tr>
      <w:tr>
        <w:trPr>
          <w:trHeight w:val="290" w:hRule="atLeast"/>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Світлодіодний безтіньовий</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Плавне регулювання освітленості в межах 5000-30000 Люкс</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Можливість сенсорного вмикання та відключення світильника</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rHeight w:val="274" w:hRule="atLeast"/>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Наявність двох ручок для зручного позиціонування світильника</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Наявність на кожній з ручок клавіш для ввімкнення світла</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99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Мультифункціональна педаль керування</w:t>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Джойстик керування кріслом пацієнта</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Кнопка активації вибраного інструменту</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Кнопка активації або відключення подачі води на інструмент</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Кнопка наповнення стакану</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Кнопка омивання плювальниці</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Кнопка продувки інструменту</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Металева дуга для зручного переміщення педалі ногою</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99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Стілець лікаря</w:t>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П'ятипроменева основа із алюмінію, на колесах</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Можливість регулювання сидіння та спинки у трьох різних положеннях для забезпечення максимально зручного розташування лікаря</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Якісне покриття, що витримує дію всіх дезінфекційних розчинів, використання яких дозволено в медичних закладах</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rPr>
            </w:pPr>
            <w:r>
              <w:rPr>
                <w:rFonts w:eastAsia="Times New Roman" w:cs="Times New Roman" w:ascii="Times New Roman" w:hAnsi="Times New Roman"/>
                <w:b/>
                <w:sz w:val="24"/>
                <w:szCs w:val="24"/>
                <w:lang w:val="uk-UA" w:eastAsia="ru-RU"/>
              </w:rPr>
              <w:t>Документація для стоматологічної установки</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rHeight w:val="666" w:hRule="atLeast"/>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Гарантійне обслуговування повинно бути не менше ніж 12 (дванадцять) місяців</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Інструкція з експлуатації українською мовою</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Наявність гарантійного листа від виробника або його уповноваженого представника в Україні про можливість постачання та термін постачання апаратів (надати оригінал відповідного документу)</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Декларація про відповідність вимогам технічного регламенту щодо медичних виробів</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rHeight w:val="652" w:hRule="atLeast"/>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Сертифікат про відповідність вимогам технічного регламенту щодо медичних виробів (надати копію)</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Післягарантійне обслуговування</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99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Мікромотор електричний з блоком керування</w:t>
            </w:r>
            <w:bookmarkStart w:id="0" w:name="_GoBack"/>
            <w:bookmarkEnd w:id="0"/>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Призначений для монтажу в стоматологічну установку</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Коефіцієнт передачі 1:1</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Матеріал – нержавіюча сталь</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Подача води</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Подача повітря</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Світлодіодне підсвічування</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Примусове охолодження</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Управління – контактні кнопки</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Наявність дисплею</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Вхідна напруга  24 В</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Потужність 120 Вт</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Швидкість 40 000 об/хв</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Частота  50/60 Гц</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Габарити блоку управління, ШxГxВ 70x95x35 мм</w:t>
            </w:r>
          </w:p>
        </w:tc>
        <w:tc>
          <w:tcPr>
            <w:tcW w:w="2389"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Зовнішній діаметр мікродвигуна  21,5 мм</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Інтелектуальна адаптивна програма керування мікродвигуном</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Багатоступенева система захисту від перевантаження, зупинки, перегріву</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Комплектація: блок управління, мікродвигун, шланг мікродвигуна, панель управління, набір проводів для комунікації</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Документація для мікромотора</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Гарантійне обслуговування повинно бути не менше ніж 12 (дванадцять) місяців</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Інструкція з експлуатації українською мовою</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eastAsia="ru-RU"/>
              </w:rPr>
            </w:pPr>
            <w:r>
              <w:rPr>
                <w:lang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eastAsia="ru-RU"/>
              </w:rPr>
            </w:pPr>
            <w:r>
              <w:rPr>
                <w:lang w:eastAsia="ru-RU"/>
              </w:rPr>
            </w:r>
          </w:p>
        </w:tc>
      </w:tr>
      <w:tr>
        <w:trPr>
          <w:trHeight w:val="442" w:hRule="atLeast"/>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Декларація про відповідність вимогам технічного регламенту щодо медичних виробів</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Сертифікат про відповідність вимогам технічного регламенту щодо медичних виробів</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Післягарантійне обслуговування</w:t>
            </w:r>
          </w:p>
        </w:tc>
        <w:tc>
          <w:tcPr>
            <w:tcW w:w="2389"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uk-UA" w:eastAsia="ru-RU"/>
              </w:rPr>
            </w:pPr>
            <w:r>
              <w:rPr>
                <w:lang w:val="uk-UA" w:eastAsia="ru-RU"/>
              </w:rPr>
            </w:r>
          </w:p>
        </w:tc>
      </w:tr>
    </w:tbl>
    <w:p>
      <w:pPr>
        <w:pStyle w:val="Normal"/>
        <w:spacing w:lineRule="atLeast" w:line="0" w:before="0" w:after="0"/>
        <w:jc w:val="center"/>
        <w:rPr>
          <w:rFonts w:ascii="Times New Roman" w:hAnsi="Times New Roman"/>
          <w:b/>
          <w:b/>
          <w:i/>
          <w:i/>
          <w:iCs/>
          <w:sz w:val="24"/>
          <w:szCs w:val="24"/>
          <w:lang w:val="uk-UA" w:eastAsia="en-US" w:bidi="ar-SA"/>
        </w:rPr>
      </w:pPr>
      <w:r>
        <w:rPr>
          <w:rFonts w:ascii="Times New Roman" w:hAnsi="Times New Roman"/>
          <w:b/>
          <w:i/>
          <w:iCs/>
          <w:sz w:val="24"/>
          <w:szCs w:val="24"/>
          <w:lang w:val="uk-UA" w:eastAsia="en-US" w:bidi="ar-SA"/>
        </w:rPr>
      </w:r>
    </w:p>
    <w:p>
      <w:pPr>
        <w:pStyle w:val="Normal"/>
        <w:jc w:val="both"/>
        <w:rPr>
          <w:rFonts w:ascii="Times New Roman" w:hAnsi="Times New Roman" w:cs="Times New Roman"/>
          <w:sz w:val="24"/>
          <w:szCs w:val="24"/>
        </w:rPr>
      </w:pPr>
      <w:r>
        <w:rPr>
          <w:rFonts w:cs="Times New Roman" w:ascii="Times New Roman" w:hAnsi="Times New Roman"/>
          <w:sz w:val="24"/>
          <w:szCs w:val="24"/>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еквіваленту. Під «еквівалентом» розуміється рівноцінний та рівнозначний Товар, такий що повністю відповідає встановленим технічним характеристикам (технічні характеристики еквіваленту не повинні бути гіршими (нижчими)).</w:t>
      </w:r>
    </w:p>
    <w:p>
      <w:pPr>
        <w:pStyle w:val="Normal"/>
        <w:spacing w:lineRule="atLeast" w:line="0" w:before="0" w:after="0"/>
        <w:jc w:val="both"/>
        <w:rPr>
          <w:rFonts w:ascii="Times New Roman" w:hAnsi="Times New Roman" w:cs="Times New Roman"/>
          <w:sz w:val="24"/>
          <w:szCs w:val="24"/>
        </w:rPr>
      </w:pPr>
      <w:r>
        <w:rPr>
          <w:rFonts w:cs="Times New Roman" w:ascii="Times New Roman" w:hAnsi="Times New Roman"/>
          <w:b/>
          <w:i/>
          <w:iCs/>
          <w:sz w:val="24"/>
          <w:szCs w:val="24"/>
          <w:shd w:fill="auto" w:val="clear"/>
          <w:lang w:val="uk-UA" w:eastAsia="en-US" w:bidi="ar-SA"/>
        </w:rPr>
        <w:t xml:space="preserve">    </w:t>
      </w:r>
      <w:r>
        <w:rPr>
          <w:rFonts w:cs="Times New Roman" w:ascii="Times New Roman" w:hAnsi="Times New Roman"/>
          <w:b w:val="false"/>
          <w:bCs w:val="false"/>
          <w:i w:val="false"/>
          <w:iCs w:val="false"/>
          <w:sz w:val="24"/>
          <w:szCs w:val="24"/>
          <w:shd w:fill="auto" w:val="clear"/>
          <w:lang w:val="uk-UA" w:eastAsia="en-US" w:bidi="ar-SA"/>
        </w:rPr>
        <w:t xml:space="preserve"> </w:t>
      </w:r>
      <w:r>
        <w:rPr>
          <w:rFonts w:cs="Times New Roman" w:ascii="Times New Roman" w:hAnsi="Times New Roman"/>
          <w:b w:val="false"/>
          <w:bCs w:val="false"/>
          <w:i w:val="false"/>
          <w:iCs w:val="false"/>
          <w:sz w:val="24"/>
          <w:szCs w:val="24"/>
          <w:shd w:fill="auto" w:val="clear"/>
          <w:lang w:val="uk-UA" w:eastAsia="en-US" w:bidi="ar-SA"/>
        </w:rPr>
        <w:t>Еквівалентом вважатиметься товар, який за характеристиками та своїм призначенням відповідає вимогам, встановленим Замовником. Обґрунтування необхідності закупівлі даного виду товару: замовник здійснює закупівлю даного виду товару оскільки такий товар за своїми якісними та технічними характеристиками найбільше відповідатиме вимогам та потребам замовника для передачі товару кінцевому споживачу (запитувачу).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даного товару.</w:t>
      </w:r>
    </w:p>
    <w:p>
      <w:pPr>
        <w:pStyle w:val="Normal"/>
        <w:spacing w:lineRule="atLeast" w:line="0" w:before="0" w:after="0"/>
        <w:jc w:val="center"/>
        <w:rPr>
          <w:rFonts w:ascii="Times New Roman" w:hAnsi="Times New Roman"/>
          <w:b/>
          <w:b/>
          <w:i/>
          <w:i/>
          <w:iCs/>
          <w:sz w:val="24"/>
          <w:szCs w:val="24"/>
          <w:lang w:val="uk-UA" w:eastAsia="en-US" w:bidi="ar-SA"/>
        </w:rPr>
      </w:pPr>
      <w:r>
        <w:rPr>
          <w:rFonts w:ascii="Times New Roman" w:hAnsi="Times New Roman"/>
          <w:b/>
          <w:i/>
          <w:iCs/>
          <w:sz w:val="24"/>
          <w:szCs w:val="24"/>
          <w:lang w:val="uk-UA" w:eastAsia="en-US" w:bidi="ar-SA"/>
        </w:rPr>
      </w:r>
    </w:p>
    <w:p>
      <w:pPr>
        <w:pStyle w:val="Normal"/>
        <w:spacing w:lineRule="atLeast" w:line="0" w:before="0" w:after="0"/>
        <w:jc w:val="center"/>
        <w:rPr>
          <w:shd w:fill="auto" w:val="clear"/>
        </w:rPr>
      </w:pPr>
      <w:r>
        <w:rPr>
          <w:rFonts w:ascii="Times New Roman" w:hAnsi="Times New Roman"/>
          <w:b/>
          <w:i/>
          <w:iCs/>
          <w:sz w:val="24"/>
          <w:szCs w:val="24"/>
          <w:shd w:fill="auto" w:val="clear"/>
          <w:lang w:val="uk-UA" w:eastAsia="en-US" w:bidi="ar-SA"/>
        </w:rPr>
        <w:t>Посада, прізвище, ініціали, підпис керівника чи уповноваженої особи Учасника, завірені печаткою.</w:t>
      </w:r>
    </w:p>
    <w:sectPr>
      <w:headerReference w:type="default" r:id="rId3"/>
      <w:type w:val="nextPage"/>
      <w:pgSz w:w="11906" w:h="16838"/>
      <w:pgMar w:left="1417" w:right="850" w:header="708" w:top="850" w:footer="0" w:bottom="85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CYR">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Arial">
    <w:charset w:val="cc"/>
    <w:family w:val="roman"/>
    <w:pitch w:val="variable"/>
  </w:font>
  <w:font w:name="Georgia">
    <w:charset w:val="cc"/>
    <w:family w:val="roman"/>
    <w:pitch w:val="variable"/>
  </w:font>
  <w:font w:name="Liberation Mono">
    <w:altName w:val="Courier New"/>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43417251"/>
    </w:sdtPr>
    <w:sdtContent>
      <w:p>
        <w:pPr>
          <w:pStyle w:val="Style28"/>
          <w:jc w:val="center"/>
          <w:rPr/>
        </w:pPr>
        <w:r>
          <w:rPr/>
          <w:fldChar w:fldCharType="begin"/>
        </w:r>
        <w:r>
          <w:rPr/>
          <w:instrText> PAGE </w:instrText>
        </w:r>
        <w:r>
          <w:rPr/>
          <w:fldChar w:fldCharType="separate"/>
        </w:r>
        <w:r>
          <w:rPr/>
          <w:t>6</w:t>
        </w:r>
        <w:r>
          <w:rPr/>
          <w:fldChar w:fldCharType="end"/>
        </w:r>
      </w:p>
      <w:p>
        <w:pPr>
          <w:pStyle w:val="Style28"/>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22662547"/>
    </w:sdtPr>
    <w:sdtContent>
      <w:p>
        <w:pPr>
          <w:pStyle w:val="Style28"/>
          <w:jc w:val="center"/>
          <w:rPr/>
        </w:pPr>
        <w:r>
          <w:rPr/>
          <w:fldChar w:fldCharType="begin"/>
        </w:r>
        <w:r>
          <w:rPr/>
          <w:instrText> PAGE </w:instrText>
        </w:r>
        <w:r>
          <w:rPr/>
          <w:fldChar w:fldCharType="separate"/>
        </w:r>
        <w:r>
          <w:rPr/>
          <w:t>6</w:t>
        </w:r>
        <w:r>
          <w:rPr/>
          <w:fldChar w:fldCharType="end"/>
        </w:r>
      </w:p>
      <w:p>
        <w:pPr>
          <w:pStyle w:val="Style28"/>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4f9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1">
    <w:name w:val="Heading 1"/>
    <w:basedOn w:val="Normal"/>
    <w:qFormat/>
    <w:pPr>
      <w:keepNext w:val="true"/>
      <w:keepLines/>
      <w:widowControl w:val="false"/>
      <w:tabs>
        <w:tab w:val="clear" w:pos="720"/>
        <w:tab w:val="left" w:pos="432" w:leader="none"/>
      </w:tabs>
      <w:spacing w:before="480" w:after="120"/>
      <w:ind w:left="432" w:hanging="432"/>
      <w:contextualSpacing/>
      <w:outlineLvl w:val="0"/>
    </w:pPr>
    <w:rPr>
      <w:rFonts w:ascii="Liberation Sans" w:hAnsi="Liberation Sans" w:eastAsia="WenQuanYi Zen Hei Sharp"/>
      <w:b/>
      <w:sz w:val="48"/>
      <w:szCs w:val="48"/>
    </w:rPr>
  </w:style>
  <w:style w:type="paragraph" w:styleId="2">
    <w:name w:val="Heading 2"/>
    <w:basedOn w:val="Normal"/>
    <w:link w:val="20"/>
    <w:qFormat/>
    <w:pPr>
      <w:keepNext w:val="true"/>
      <w:keepLines/>
      <w:widowControl w:val="false"/>
      <w:tabs>
        <w:tab w:val="clear" w:pos="720"/>
        <w:tab w:val="left" w:pos="576" w:leader="none"/>
      </w:tabs>
      <w:spacing w:before="360" w:after="80"/>
      <w:ind w:left="576" w:hanging="576"/>
      <w:contextualSpacing/>
      <w:outlineLvl w:val="1"/>
    </w:pPr>
    <w:rPr>
      <w:rFonts w:ascii="Liberation Sans" w:hAnsi="Liberation Sans" w:eastAsia="WenQuanYi Zen Hei Sharp"/>
      <w:b/>
      <w:sz w:val="36"/>
      <w:szCs w:val="36"/>
    </w:rPr>
  </w:style>
  <w:style w:type="paragraph" w:styleId="3">
    <w:name w:val="Heading 3"/>
    <w:basedOn w:val="Normal"/>
    <w:qFormat/>
    <w:pPr>
      <w:keepNext w:val="true"/>
      <w:keepLines/>
      <w:widowControl w:val="false"/>
      <w:tabs>
        <w:tab w:val="left" w:pos="720" w:leader="none"/>
      </w:tabs>
      <w:suppressAutoHyphens w:val="false"/>
      <w:spacing w:before="280" w:after="80"/>
      <w:ind w:left="720" w:hanging="720"/>
      <w:contextualSpacing/>
      <w:outlineLvl w:val="2"/>
    </w:pPr>
    <w:rPr>
      <w:rFonts w:eastAsia="Times New Roman"/>
      <w:b/>
      <w:sz w:val="28"/>
      <w:szCs w:val="28"/>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84f9b"/>
    <w:rPr/>
  </w:style>
  <w:style w:type="character" w:styleId="Style11" w:customStyle="1">
    <w:name w:val="Основной текст Знак"/>
    <w:basedOn w:val="DefaultParagraphFont"/>
    <w:qFormat/>
    <w:rsid w:val="00984f9b"/>
    <w:rPr>
      <w:rFonts w:ascii="Times New Roman CYR" w:hAnsi="Times New Roman CYR" w:eastAsia="Times New Roman" w:cs="Times New Roman CYR"/>
      <w:sz w:val="24"/>
      <w:szCs w:val="24"/>
    </w:rPr>
  </w:style>
  <w:style w:type="character" w:styleId="Style12" w:customStyle="1">
    <w:name w:val="Интернет-ссылка"/>
    <w:rsid w:val="00984f9b"/>
    <w:rPr>
      <w:color w:val="0000FF"/>
      <w:u w:val="single"/>
    </w:rPr>
  </w:style>
  <w:style w:type="character" w:styleId="21" w:customStyle="1">
    <w:name w:val="Заголовок 2 Знак"/>
    <w:basedOn w:val="DefaultParagraphFont"/>
    <w:link w:val="2"/>
    <w:qFormat/>
    <w:rsid w:val="00984f9b"/>
    <w:rPr>
      <w:rFonts w:ascii="Calibri" w:hAnsi="Calibri" w:eastAsia="Calibri" w:cs="Times New Roman"/>
      <w:lang w:val="uk-UA"/>
    </w:rPr>
  </w:style>
  <w:style w:type="character" w:styleId="Style13" w:customStyle="1">
    <w:name w:val="Обычный (Интернет) Знак"/>
    <w:uiPriority w:val="99"/>
    <w:qFormat/>
    <w:locked/>
    <w:rsid w:val="00984f9b"/>
    <w:rPr>
      <w:rFonts w:ascii="Times New Roman" w:hAnsi="Times New Roman" w:eastAsia="Times New Roman" w:cs="Times New Roman"/>
      <w:sz w:val="24"/>
      <w:szCs w:val="24"/>
      <w:lang w:val="x-none" w:eastAsia="x-none"/>
    </w:rPr>
  </w:style>
  <w:style w:type="character" w:styleId="FontStyle12" w:customStyle="1">
    <w:name w:val="Font Style12"/>
    <w:qFormat/>
    <w:rsid w:val="00984f9b"/>
    <w:rPr>
      <w:rFonts w:ascii="Times New Roman" w:hAnsi="Times New Roman" w:cs="Times New Roman"/>
      <w:sz w:val="26"/>
      <w:szCs w:val="26"/>
    </w:rPr>
  </w:style>
  <w:style w:type="character" w:styleId="Style14" w:customStyle="1">
    <w:name w:val="Верхний колонтитул Знак"/>
    <w:basedOn w:val="DefaultParagraphFont"/>
    <w:uiPriority w:val="99"/>
    <w:qFormat/>
    <w:rsid w:val="00572165"/>
    <w:rPr>
      <w:rFonts w:ascii="Calibri" w:hAnsi="Calibri" w:eastAsia="Calibri" w:cs="Times New Roman"/>
      <w:lang w:val="uk-UA"/>
    </w:rPr>
  </w:style>
  <w:style w:type="character" w:styleId="Style15" w:customStyle="1">
    <w:name w:val="Нижний колонтитул Знак"/>
    <w:basedOn w:val="DefaultParagraphFont"/>
    <w:uiPriority w:val="99"/>
    <w:qFormat/>
    <w:rsid w:val="00572165"/>
    <w:rPr>
      <w:rFonts w:ascii="Calibri" w:hAnsi="Calibri" w:eastAsia="Calibri" w:cs="Times New Roman"/>
      <w:lang w:val="uk-UA"/>
    </w:rPr>
  </w:style>
  <w:style w:type="character" w:styleId="Style16" w:customStyle="1">
    <w:name w:val="Текст выноски Знак"/>
    <w:basedOn w:val="DefaultParagraphFont"/>
    <w:uiPriority w:val="99"/>
    <w:semiHidden/>
    <w:qFormat/>
    <w:rsid w:val="00386392"/>
    <w:rPr>
      <w:rFonts w:ascii="Segoe UI" w:hAnsi="Segoe UI" w:eastAsia="Calibri" w:cs="Segoe UI"/>
      <w:sz w:val="18"/>
      <w:szCs w:val="18"/>
      <w:lang w:val="uk-UA"/>
    </w:rPr>
  </w:style>
  <w:style w:type="character" w:styleId="Style17" w:customStyle="1">
    <w:name w:val="Схема документа Знак"/>
    <w:basedOn w:val="DefaultParagraphFont"/>
    <w:uiPriority w:val="99"/>
    <w:semiHidden/>
    <w:qFormat/>
    <w:rsid w:val="006b7c73"/>
    <w:rPr>
      <w:rFonts w:ascii="Segoe UI" w:hAnsi="Segoe UI" w:eastAsia="Calibri" w:cs="Segoe UI"/>
      <w:sz w:val="16"/>
      <w:szCs w:val="16"/>
      <w:lang w:val="uk-UA"/>
    </w:rPr>
  </w:style>
  <w:style w:type="character" w:styleId="Style18" w:customStyle="1">
    <w:name w:val="Выделение жирным"/>
    <w:qFormat/>
    <w:rPr>
      <w:b/>
      <w:bCs/>
    </w:rPr>
  </w:style>
  <w:style w:type="character" w:styleId="Style19" w:customStyle="1">
    <w:name w:val="Маркеры"/>
    <w:qFormat/>
    <w:rPr>
      <w:rFonts w:ascii="OpenSymbol" w:hAnsi="OpenSymbol" w:eastAsia="OpenSymbol" w:cs="OpenSymbol"/>
    </w:rPr>
  </w:style>
  <w:style w:type="character" w:styleId="Style20" w:customStyle="1">
    <w:name w:val="Символ нумерации"/>
    <w:qFormat/>
    <w:rPr/>
  </w:style>
  <w:style w:type="character" w:styleId="FontStyle20" w:customStyle="1">
    <w:name w:val="Font Style20"/>
    <w:qFormat/>
    <w:rsid w:val="005a2c68"/>
    <w:rPr>
      <w:rFonts w:ascii="Times New Roman" w:hAnsi="Times New Roman" w:cs="Times New Roman"/>
      <w:sz w:val="22"/>
      <w:szCs w:val="22"/>
    </w:rPr>
  </w:style>
  <w:style w:type="character" w:styleId="22">
    <w:name w:val="Основной текст (2)"/>
    <w:qFormat/>
    <w:rPr>
      <w:rFonts w:ascii="Times New Roman" w:hAnsi="Times New Roman" w:cs="Times New Roman"/>
      <w:color w:val="000000"/>
      <w:spacing w:val="0"/>
      <w:w w:val="100"/>
      <w:sz w:val="24"/>
      <w:szCs w:val="24"/>
      <w:u w:val="none"/>
      <w:lang w:val="uk-UA" w:eastAsia="uk-UA"/>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rsid w:val="00984f9b"/>
    <w:pPr>
      <w:widowControl w:val="false"/>
      <w:spacing w:lineRule="auto" w:line="240" w:before="0" w:after="120"/>
    </w:pPr>
    <w:rPr>
      <w:rFonts w:ascii="Times New Roman CYR" w:hAnsi="Times New Roman CYR" w:eastAsia="Times New Roman" w:cs="Times New Roman CYR"/>
      <w:sz w:val="24"/>
      <w:szCs w:val="24"/>
      <w:lang w:val="ru-RU"/>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next w:val="Style22"/>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NoSpacing">
    <w:name w:val="No Spacing"/>
    <w:qFormat/>
    <w:rsid w:val="00984f9b"/>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BodyTextIndent2">
    <w:name w:val="Body Text Indent 2"/>
    <w:basedOn w:val="Normal"/>
    <w:qFormat/>
    <w:rsid w:val="00984f9b"/>
    <w:pPr>
      <w:spacing w:lineRule="auto" w:line="480" w:before="0" w:after="120"/>
      <w:ind w:left="283" w:hanging="0"/>
    </w:pPr>
    <w:rPr/>
  </w:style>
  <w:style w:type="paragraph" w:styleId="NormalWeb">
    <w:name w:val="Normal (Web)"/>
    <w:basedOn w:val="Normal"/>
    <w:uiPriority w:val="99"/>
    <w:qFormat/>
    <w:rsid w:val="00984f9b"/>
    <w:pPr>
      <w:spacing w:lineRule="auto" w:line="240" w:beforeAutospacing="1" w:afterAutospacing="1"/>
    </w:pPr>
    <w:rPr>
      <w:rFonts w:ascii="Times New Roman" w:hAnsi="Times New Roman" w:eastAsia="Times New Roman"/>
      <w:sz w:val="24"/>
      <w:szCs w:val="24"/>
      <w:lang w:val="x-none" w:eastAsia="x-none"/>
    </w:rPr>
  </w:style>
  <w:style w:type="paragraph" w:styleId="Rvps2" w:customStyle="1">
    <w:name w:val="rvps2"/>
    <w:basedOn w:val="Normal"/>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Rvps14" w:customStyle="1">
    <w:name w:val="rvps14"/>
    <w:basedOn w:val="Normal"/>
    <w:uiPriority w:val="99"/>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Default" w:customStyle="1">
    <w:name w:val="Default"/>
    <w:qFormat/>
    <w:rsid w:val="00984f9b"/>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Style27" w:customStyle="1">
    <w:name w:val="Верхний и нижний колонтитулы"/>
    <w:basedOn w:val="Normal"/>
    <w:qFormat/>
    <w:pPr/>
    <w:rPr/>
  </w:style>
  <w:style w:type="paragraph" w:styleId="Style28">
    <w:name w:val="Head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Style29">
    <w:name w:val="Foot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BalloonText">
    <w:name w:val="Balloon Text"/>
    <w:basedOn w:val="Normal"/>
    <w:uiPriority w:val="99"/>
    <w:semiHidden/>
    <w:unhideWhenUsed/>
    <w:qFormat/>
    <w:rsid w:val="00386392"/>
    <w:pPr>
      <w:spacing w:lineRule="auto" w:line="240" w:before="0" w:after="0"/>
    </w:pPr>
    <w:rPr>
      <w:rFonts w:ascii="Segoe UI" w:hAnsi="Segoe UI" w:cs="Segoe UI"/>
      <w:sz w:val="18"/>
      <w:szCs w:val="18"/>
    </w:rPr>
  </w:style>
  <w:style w:type="paragraph" w:styleId="DocumentMap">
    <w:name w:val="Document Map"/>
    <w:basedOn w:val="Normal"/>
    <w:uiPriority w:val="99"/>
    <w:semiHidden/>
    <w:unhideWhenUsed/>
    <w:qFormat/>
    <w:rsid w:val="006b7c73"/>
    <w:pPr>
      <w:spacing w:lineRule="auto" w:line="240" w:before="0" w:after="0"/>
    </w:pPr>
    <w:rPr>
      <w:rFonts w:ascii="Segoe UI" w:hAnsi="Segoe UI" w:cs="Segoe UI"/>
      <w:sz w:val="16"/>
      <w:szCs w:val="16"/>
    </w:rPr>
  </w:style>
  <w:style w:type="paragraph" w:styleId="ListParagraph">
    <w:name w:val="List Paragraph"/>
    <w:basedOn w:val="Normal"/>
    <w:uiPriority w:val="34"/>
    <w:qFormat/>
    <w:rsid w:val="00d1337f"/>
    <w:pPr>
      <w:spacing w:before="0" w:after="200"/>
      <w:ind w:left="720" w:hanging="0"/>
      <w:contextualSpacing/>
    </w:pPr>
    <w:rPr/>
  </w:style>
  <w:style w:type="paragraph" w:styleId="23" w:customStyle="1">
    <w:name w:val="Без интервала2"/>
    <w:qFormat/>
    <w:rsid w:val="00674be2"/>
    <w:pPr>
      <w:widowControl/>
      <w:suppressAutoHyphens w:val="true"/>
      <w:bidi w:val="0"/>
      <w:spacing w:before="0" w:after="0"/>
      <w:ind w:firstLine="567"/>
      <w:jc w:val="both"/>
    </w:pPr>
    <w:rPr>
      <w:rFonts w:ascii="Times New Roman" w:hAnsi="Times New Roman" w:eastAsia="Calibri" w:cs="Times New Roman" w:eastAsiaTheme="minorHAnsi"/>
      <w:color w:val="auto"/>
      <w:kern w:val="0"/>
      <w:sz w:val="24"/>
      <w:szCs w:val="22"/>
      <w:lang w:val="uk-UA" w:eastAsia="en-US" w:bidi="ar-SA"/>
    </w:rPr>
  </w:style>
  <w:style w:type="paragraph" w:styleId="Style30" w:customStyle="1">
    <w:name w:val="Знак Знак"/>
    <w:basedOn w:val="Normal"/>
    <w:qFormat/>
    <w:rsid w:val="00f852b2"/>
    <w:pPr>
      <w:spacing w:lineRule="exact" w:line="240" w:before="0" w:after="160"/>
    </w:pPr>
    <w:rPr>
      <w:rFonts w:ascii="Arial" w:hAnsi="Arial" w:eastAsia="Times New Roman" w:cs="Arial"/>
      <w:sz w:val="20"/>
      <w:szCs w:val="20"/>
      <w:lang w:val="en-US"/>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yle31">
    <w:name w:val="Body Text Indent"/>
    <w:basedOn w:val="Normal"/>
    <w:pPr>
      <w:ind w:firstLine="567"/>
      <w:jc w:val="both"/>
    </w:pPr>
    <w:rPr>
      <w:rFonts w:ascii="Times New Roman" w:hAnsi="Times New Roman"/>
      <w:szCs w:val="20"/>
    </w:rPr>
  </w:style>
  <w:style w:type="paragraph" w:styleId="WW" w:customStyle="1">
    <w:name w:val="WW-Текст"/>
    <w:qFormat/>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en-US" w:eastAsia="zh-CN" w:bidi="ar-SA"/>
    </w:rPr>
  </w:style>
  <w:style w:type="paragraph" w:styleId="31" w:customStyle="1">
    <w:name w:val="Ïîäçàã3"/>
    <w:basedOn w:val="Normal"/>
    <w:qFormat/>
    <w:pPr>
      <w:spacing w:lineRule="atLeast" w:line="210" w:before="113" w:after="57"/>
      <w:jc w:val="center"/>
    </w:pPr>
    <w:rPr>
      <w:rFonts w:ascii="Times New Roman" w:hAnsi="Times New Roman"/>
      <w:b/>
      <w:sz w:val="20"/>
      <w:szCs w:val="20"/>
    </w:rPr>
  </w:style>
  <w:style w:type="paragraph" w:styleId="11" w:customStyle="1">
    <w:name w:val="Підзаголовок1"/>
    <w:basedOn w:val="LOnormal"/>
    <w:qFormat/>
    <w:pPr>
      <w:keepNext w:val="true"/>
      <w:keepLines/>
      <w:spacing w:before="360" w:after="80"/>
      <w:contextualSpacing/>
    </w:pPr>
    <w:rPr>
      <w:rFonts w:ascii="Georgia" w:hAnsi="Georgia" w:eastAsia="Georgia" w:cs="Georgia"/>
      <w:i/>
      <w:color w:val="666666"/>
      <w:sz w:val="48"/>
      <w:szCs w:val="48"/>
    </w:rPr>
  </w:style>
  <w:style w:type="paragraph" w:styleId="32" w:customStyle="1">
    <w:name w:val="Абзац списка3"/>
    <w:basedOn w:val="Normal"/>
    <w:qFormat/>
    <w:pPr>
      <w:spacing w:before="0" w:after="200"/>
      <w:ind w:left="720" w:hanging="0"/>
      <w:contextualSpacing/>
    </w:pPr>
    <w:rPr>
      <w:rFonts w:ascii="Calibri" w:hAnsi="Calibri" w:eastAsia="Calibri" w:cs="Calibri"/>
    </w:rPr>
  </w:style>
  <w:style w:type="paragraph" w:styleId="Style32" w:customStyle="1">
    <w:name w:val="Вміст таблиці"/>
    <w:basedOn w:val="Normal"/>
    <w:uiPriority w:val="1"/>
    <w:qFormat/>
    <w:pPr>
      <w:suppressLineNumbers/>
    </w:pPr>
    <w:rPr/>
  </w:style>
  <w:style w:type="paragraph" w:styleId="3f3f3f3f3f3f3f3f3f3f3f3f3f" w:customStyle="1">
    <w:name w:val="О3fс3fн3fо3fв3fн3fи3fй3f т3fе3fк3fс3fт3f"/>
    <w:basedOn w:val="Normal"/>
    <w:qFormat/>
    <w:pPr>
      <w:spacing w:lineRule="auto" w:line="288" w:before="0" w:after="140"/>
    </w:pPr>
    <w:rPr>
      <w:rFonts w:ascii="Liberation Serif;Times New Roma" w:hAnsi="Liberation Serif;Times New Roma" w:cs="Liberation Serif;Times New Roma"/>
    </w:rPr>
  </w:style>
  <w:style w:type="paragraph" w:styleId="12" w:customStyle="1">
    <w:name w:val="Основний текст1"/>
    <w:basedOn w:val="Normal"/>
    <w:qFormat/>
    <w:pPr>
      <w:spacing w:lineRule="auto" w:line="288" w:before="0" w:after="140"/>
    </w:pPr>
    <w:rPr/>
  </w:style>
  <w:style w:type="paragraph" w:styleId="ListParagraph1" w:customStyle="1">
    <w:name w:val="ListParagraph"/>
    <w:basedOn w:val="Normal"/>
    <w:uiPriority w:val="1"/>
    <w:unhideWhenUsed/>
    <w:qFormat/>
    <w:rsid w:val="005a2c68"/>
    <w:pPr>
      <w:suppressAutoHyphens w:val="false"/>
      <w:ind w:left="720" w:hanging="0"/>
    </w:pPr>
    <w:rPr>
      <w:rFonts w:ascii="Calibri" w:hAnsi="Calibri" w:eastAsia="Calibri" w:cs="Calibri"/>
      <w:szCs w:val="20"/>
      <w:lang w:val="ru-RU" w:eastAsia="ru-RU"/>
    </w:rPr>
  </w:style>
  <w:style w:type="paragraph" w:styleId="13" w:customStyle="1">
    <w:name w:val="Заголовок1"/>
    <w:basedOn w:val="Normal"/>
    <w:next w:val="Style22"/>
    <w:qFormat/>
    <w:rsid w:val="005a2c68"/>
    <w:pPr>
      <w:spacing w:lineRule="auto" w:line="240" w:before="0" w:after="0"/>
      <w:jc w:val="center"/>
    </w:pPr>
    <w:rPr>
      <w:rFonts w:ascii="Times New Roman" w:hAnsi="Times New Roman" w:eastAsia="Times New Roman"/>
      <w:b/>
      <w:bCs/>
      <w:sz w:val="24"/>
      <w:szCs w:val="24"/>
      <w:lang w:eastAsia="zh-CN"/>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paragraph" w:styleId="Style35">
    <w:name w:val="??? ?????????"/>
    <w:qFormat/>
    <w:pPr>
      <w:widowControl/>
      <w:suppressAutoHyphens w:val="true"/>
      <w:overflowPunct w:val="fals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Standard">
    <w:name w:val="Standard"/>
    <w:qFormat/>
    <w:pPr>
      <w:widowControl/>
      <w:suppressAutoHyphens w:val="true"/>
      <w:overflowPunct w:val="fals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Style36">
    <w:name w:val="Без інтервалів"/>
    <w:qFormat/>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Style37">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DBE9-6D64-4D71-A9C6-1BFEC3E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Application>LibreOffice/7.0.3.1$Windows_X86_64 LibreOffice_project/d7547858d014d4cf69878db179d326fc3483e082</Application>
  <Pages>6</Pages>
  <Words>1409</Words>
  <Characters>10165</Characters>
  <CharactersWithSpaces>11462</CharactersWithSpaces>
  <Paragraphs>139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2023-03-06T12:27:00Z</dcterms:created>
  <dc:creator>АФАНАСЬЄВА Зінаїда Володимирівна</dc:creator>
  <dc:description/>
  <dc:language>en-US</dc:language>
  <cp:lastModifiedBy/>
  <cp:lastPrinted>2023-12-28T09:26:48Z</cp:lastPrinted>
  <dcterms:modified xsi:type="dcterms:W3CDTF">2024-03-14T14:46:49Z</dcterms:modified>
  <cp:revision>119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