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32" w:rsidRPr="005A6C1E" w:rsidRDefault="00102B32" w:rsidP="00102B32">
      <w:pPr>
        <w:ind w:right="-25" w:firstLine="6663"/>
        <w:jc w:val="right"/>
        <w:rPr>
          <w:b/>
        </w:rPr>
      </w:pPr>
      <w:r w:rsidRPr="005A6C1E">
        <w:rPr>
          <w:b/>
        </w:rPr>
        <w:t>Додаток №3</w:t>
      </w:r>
    </w:p>
    <w:p w:rsidR="00102B32" w:rsidRPr="005A6C1E" w:rsidRDefault="00102B32" w:rsidP="00102B32">
      <w:pPr>
        <w:ind w:right="-25" w:firstLine="6663"/>
        <w:jc w:val="right"/>
        <w:rPr>
          <w:b/>
        </w:rPr>
      </w:pPr>
      <w:r w:rsidRPr="005A6C1E">
        <w:rPr>
          <w:b/>
        </w:rPr>
        <w:t>до тендерної документації</w:t>
      </w:r>
    </w:p>
    <w:p w:rsidR="00102B32" w:rsidRPr="005A6C1E" w:rsidRDefault="00102B32" w:rsidP="00102B32">
      <w:pPr>
        <w:ind w:right="-25"/>
        <w:jc w:val="right"/>
        <w:rPr>
          <w:b/>
        </w:rPr>
      </w:pPr>
    </w:p>
    <w:p w:rsidR="00102B32" w:rsidRPr="005A6C1E" w:rsidRDefault="00102B32" w:rsidP="00102B32">
      <w:pPr>
        <w:ind w:right="-25"/>
        <w:jc w:val="right"/>
        <w:rPr>
          <w:b/>
        </w:rPr>
      </w:pPr>
    </w:p>
    <w:p w:rsidR="00102B32" w:rsidRPr="005A6C1E" w:rsidRDefault="00102B32" w:rsidP="00102B32">
      <w:pPr>
        <w:ind w:right="-25"/>
        <w:jc w:val="center"/>
        <w:rPr>
          <w:b/>
        </w:rPr>
      </w:pPr>
      <w:r w:rsidRPr="005A6C1E">
        <w:rPr>
          <w:b/>
        </w:rPr>
        <w:t>ІНФОРМАЦІЯ ПРО НЕОБХІДНІ ТЕХНІЧНІ, ЯКІСНІ ТА КІЛЬКІСНІ ХАРАКТЕРИСТИКИ ПРЕДМЕТА ЗАКУПІВЛІ</w:t>
      </w:r>
    </w:p>
    <w:p w:rsidR="00102B32" w:rsidRPr="005A6C1E" w:rsidRDefault="00102B32" w:rsidP="00102B32">
      <w:pPr>
        <w:ind w:right="-25"/>
        <w:jc w:val="center"/>
        <w:rPr>
          <w:b/>
          <w:sz w:val="24"/>
          <w:szCs w:val="24"/>
        </w:rPr>
      </w:pPr>
    </w:p>
    <w:tbl>
      <w:tblPr>
        <w:tblW w:w="9640" w:type="dxa"/>
        <w:tblInd w:w="-10" w:type="dxa"/>
        <w:tblLayout w:type="fixed"/>
        <w:tblLook w:val="04A0" w:firstRow="1" w:lastRow="0" w:firstColumn="1" w:lastColumn="0" w:noHBand="0" w:noVBand="1"/>
      </w:tblPr>
      <w:tblGrid>
        <w:gridCol w:w="418"/>
        <w:gridCol w:w="2768"/>
        <w:gridCol w:w="2626"/>
        <w:gridCol w:w="1957"/>
        <w:gridCol w:w="1020"/>
        <w:gridCol w:w="851"/>
      </w:tblGrid>
      <w:tr w:rsidR="00102B32" w:rsidRPr="005A6C1E" w:rsidTr="005A6C1E">
        <w:trPr>
          <w:trHeight w:val="602"/>
        </w:trPr>
        <w:tc>
          <w:tcPr>
            <w:tcW w:w="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2B32" w:rsidRPr="005A6C1E" w:rsidRDefault="00102B32" w:rsidP="00F61C26">
            <w:pPr>
              <w:rPr>
                <w:b/>
                <w:color w:val="000000"/>
              </w:rPr>
            </w:pPr>
            <w:r w:rsidRPr="005A6C1E">
              <w:rPr>
                <w:b/>
                <w:color w:val="000000"/>
              </w:rPr>
              <w:t>№</w:t>
            </w:r>
          </w:p>
        </w:tc>
        <w:tc>
          <w:tcPr>
            <w:tcW w:w="2768" w:type="dxa"/>
            <w:tcBorders>
              <w:top w:val="single" w:sz="8" w:space="0" w:color="auto"/>
              <w:left w:val="nil"/>
              <w:bottom w:val="single" w:sz="8" w:space="0" w:color="auto"/>
              <w:right w:val="single" w:sz="8" w:space="0" w:color="auto"/>
            </w:tcBorders>
            <w:shd w:val="clear" w:color="auto" w:fill="auto"/>
            <w:vAlign w:val="center"/>
            <w:hideMark/>
          </w:tcPr>
          <w:p w:rsidR="00102B32" w:rsidRPr="005A6C1E" w:rsidRDefault="00102B32" w:rsidP="00F61C26">
            <w:pPr>
              <w:jc w:val="center"/>
              <w:rPr>
                <w:b/>
                <w:color w:val="000000"/>
              </w:rPr>
            </w:pPr>
            <w:r w:rsidRPr="005A6C1E">
              <w:rPr>
                <w:b/>
                <w:color w:val="000000"/>
              </w:rPr>
              <w:t>Код ДК 021:2015</w:t>
            </w:r>
          </w:p>
        </w:tc>
        <w:tc>
          <w:tcPr>
            <w:tcW w:w="2626" w:type="dxa"/>
            <w:tcBorders>
              <w:top w:val="single" w:sz="8" w:space="0" w:color="auto"/>
              <w:left w:val="nil"/>
              <w:bottom w:val="single" w:sz="8" w:space="0" w:color="auto"/>
              <w:right w:val="single" w:sz="8" w:space="0" w:color="auto"/>
            </w:tcBorders>
            <w:shd w:val="clear" w:color="auto" w:fill="auto"/>
            <w:vAlign w:val="center"/>
            <w:hideMark/>
          </w:tcPr>
          <w:p w:rsidR="00102B32" w:rsidRPr="005A6C1E" w:rsidRDefault="00102B32" w:rsidP="00F61C26">
            <w:pPr>
              <w:jc w:val="center"/>
              <w:rPr>
                <w:b/>
                <w:color w:val="000000"/>
              </w:rPr>
            </w:pPr>
            <w:r w:rsidRPr="005A6C1E">
              <w:rPr>
                <w:b/>
                <w:color w:val="000000"/>
              </w:rPr>
              <w:t xml:space="preserve">Код </w:t>
            </w:r>
            <w:r w:rsidR="002003D2" w:rsidRPr="005A6C1E">
              <w:rPr>
                <w:b/>
                <w:color w:val="000000"/>
              </w:rPr>
              <w:t>НК 024:2023</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02B32" w:rsidRPr="005A6C1E" w:rsidRDefault="00102B32" w:rsidP="00F61C26">
            <w:pPr>
              <w:jc w:val="center"/>
              <w:rPr>
                <w:b/>
                <w:color w:val="000000"/>
              </w:rPr>
            </w:pPr>
            <w:r w:rsidRPr="005A6C1E">
              <w:rPr>
                <w:b/>
                <w:color w:val="000000"/>
              </w:rPr>
              <w:t>Найменування товару</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102B32" w:rsidRPr="005A6C1E" w:rsidRDefault="00102B32" w:rsidP="00F61C26">
            <w:pPr>
              <w:jc w:val="center"/>
              <w:rPr>
                <w:b/>
                <w:color w:val="000000"/>
              </w:rPr>
            </w:pPr>
            <w:r w:rsidRPr="005A6C1E">
              <w:rPr>
                <w:b/>
                <w:color w:val="000000"/>
              </w:rPr>
              <w:t>Од-ця виміру</w:t>
            </w:r>
          </w:p>
        </w:tc>
        <w:tc>
          <w:tcPr>
            <w:tcW w:w="851" w:type="dxa"/>
            <w:tcBorders>
              <w:top w:val="single" w:sz="8" w:space="0" w:color="auto"/>
              <w:left w:val="nil"/>
              <w:bottom w:val="single" w:sz="8" w:space="0" w:color="auto"/>
              <w:right w:val="single" w:sz="8" w:space="0" w:color="auto"/>
            </w:tcBorders>
            <w:vAlign w:val="center"/>
          </w:tcPr>
          <w:p w:rsidR="00102B32" w:rsidRPr="005A6C1E" w:rsidRDefault="00102B32" w:rsidP="00F61C26">
            <w:pPr>
              <w:jc w:val="center"/>
              <w:rPr>
                <w:b/>
                <w:color w:val="000000"/>
              </w:rPr>
            </w:pPr>
            <w:r w:rsidRPr="005A6C1E">
              <w:rPr>
                <w:b/>
                <w:color w:val="000000"/>
              </w:rPr>
              <w:t>Кіл-</w:t>
            </w:r>
            <w:proofErr w:type="spellStart"/>
            <w:r w:rsidRPr="005A6C1E">
              <w:rPr>
                <w:b/>
                <w:color w:val="000000"/>
              </w:rPr>
              <w:t>ть</w:t>
            </w:r>
            <w:proofErr w:type="spellEnd"/>
          </w:p>
        </w:tc>
      </w:tr>
      <w:tr w:rsidR="00102B32" w:rsidRPr="005A6C1E" w:rsidTr="005A6C1E">
        <w:trPr>
          <w:trHeight w:val="960"/>
        </w:trPr>
        <w:tc>
          <w:tcPr>
            <w:tcW w:w="418" w:type="dxa"/>
            <w:tcBorders>
              <w:top w:val="nil"/>
              <w:left w:val="single" w:sz="8" w:space="0" w:color="auto"/>
              <w:bottom w:val="single" w:sz="8" w:space="0" w:color="auto"/>
              <w:right w:val="single" w:sz="8" w:space="0" w:color="auto"/>
            </w:tcBorders>
            <w:shd w:val="clear" w:color="auto" w:fill="auto"/>
            <w:vAlign w:val="center"/>
          </w:tcPr>
          <w:p w:rsidR="00102B32" w:rsidRPr="005A6C1E" w:rsidRDefault="00102B32" w:rsidP="00F61C26">
            <w:pPr>
              <w:jc w:val="center"/>
              <w:rPr>
                <w:color w:val="000000"/>
              </w:rPr>
            </w:pPr>
            <w:r w:rsidRPr="005A6C1E">
              <w:rPr>
                <w:color w:val="000000"/>
              </w:rPr>
              <w:t>1</w:t>
            </w:r>
          </w:p>
        </w:tc>
        <w:tc>
          <w:tcPr>
            <w:tcW w:w="2768" w:type="dxa"/>
            <w:tcBorders>
              <w:top w:val="single" w:sz="8" w:space="0" w:color="auto"/>
              <w:left w:val="nil"/>
              <w:bottom w:val="single" w:sz="8" w:space="0" w:color="auto"/>
              <w:right w:val="single" w:sz="8" w:space="0" w:color="auto"/>
            </w:tcBorders>
            <w:shd w:val="clear" w:color="auto" w:fill="auto"/>
            <w:vAlign w:val="center"/>
            <w:hideMark/>
          </w:tcPr>
          <w:p w:rsidR="00F77180" w:rsidRDefault="00F77180" w:rsidP="00F77180">
            <w:pPr>
              <w:rPr>
                <w:rFonts w:eastAsia="Arial"/>
                <w:shd w:val="clear" w:color="auto" w:fill="FFFFFF"/>
                <w:lang w:eastAsia="ar-SA"/>
              </w:rPr>
            </w:pPr>
            <w:r w:rsidRPr="00F77180">
              <w:rPr>
                <w:rFonts w:eastAsia="Arial"/>
                <w:shd w:val="clear" w:color="auto" w:fill="FFFFFF"/>
                <w:lang w:eastAsia="ar-SA"/>
              </w:rPr>
              <w:t>38430000-8 Детектори та аналізатори</w:t>
            </w:r>
          </w:p>
          <w:p w:rsidR="00102B32" w:rsidRPr="005A6C1E" w:rsidRDefault="00F77180" w:rsidP="00F77180">
            <w:pPr>
              <w:rPr>
                <w:rFonts w:eastAsia="Arial"/>
                <w:shd w:val="clear" w:color="auto" w:fill="FFFFFF"/>
                <w:lang w:eastAsia="ar-SA"/>
              </w:rPr>
            </w:pPr>
            <w:r w:rsidRPr="00F77180">
              <w:rPr>
                <w:rFonts w:eastAsia="Arial"/>
                <w:shd w:val="clear" w:color="auto" w:fill="FFFFFF"/>
                <w:lang w:eastAsia="ar-SA"/>
              </w:rPr>
              <w:t>38434570-2</w:t>
            </w:r>
            <w:r>
              <w:rPr>
                <w:rFonts w:eastAsia="Arial"/>
                <w:shd w:val="clear" w:color="auto" w:fill="FFFFFF"/>
                <w:lang w:eastAsia="ar-SA"/>
              </w:rPr>
              <w:t xml:space="preserve"> Гематологічні аналізатори</w:t>
            </w:r>
          </w:p>
        </w:tc>
        <w:tc>
          <w:tcPr>
            <w:tcW w:w="2626" w:type="dxa"/>
            <w:tcBorders>
              <w:top w:val="single" w:sz="8" w:space="0" w:color="auto"/>
              <w:left w:val="nil"/>
              <w:bottom w:val="single" w:sz="8" w:space="0" w:color="auto"/>
              <w:right w:val="single" w:sz="8" w:space="0" w:color="auto"/>
            </w:tcBorders>
            <w:shd w:val="clear" w:color="auto" w:fill="auto"/>
            <w:vAlign w:val="center"/>
          </w:tcPr>
          <w:p w:rsidR="00102B32" w:rsidRPr="005A6C1E" w:rsidRDefault="00F77180" w:rsidP="00737763">
            <w:pPr>
              <w:jc w:val="center"/>
              <w:rPr>
                <w:color w:val="000000"/>
              </w:rPr>
            </w:pPr>
            <w:r w:rsidRPr="00F77180">
              <w:rPr>
                <w:rFonts w:eastAsia="Arial"/>
                <w:shd w:val="clear" w:color="auto" w:fill="FFFFFF"/>
                <w:lang w:eastAsia="ar-SA"/>
              </w:rPr>
              <w:t xml:space="preserve">35476 Аналізатор гематологічний IVD (діагностика </w:t>
            </w:r>
            <w:proofErr w:type="spellStart"/>
            <w:r w:rsidRPr="00F77180">
              <w:rPr>
                <w:rFonts w:eastAsia="Arial"/>
                <w:shd w:val="clear" w:color="auto" w:fill="FFFFFF"/>
                <w:lang w:eastAsia="ar-SA"/>
              </w:rPr>
              <w:t>in</w:t>
            </w:r>
            <w:proofErr w:type="spellEnd"/>
            <w:r w:rsidRPr="00F77180">
              <w:rPr>
                <w:rFonts w:eastAsia="Arial"/>
                <w:shd w:val="clear" w:color="auto" w:fill="FFFFFF"/>
                <w:lang w:eastAsia="ar-SA"/>
              </w:rPr>
              <w:t xml:space="preserve"> </w:t>
            </w:r>
            <w:proofErr w:type="spellStart"/>
            <w:r w:rsidRPr="00F77180">
              <w:rPr>
                <w:rFonts w:eastAsia="Arial"/>
                <w:shd w:val="clear" w:color="auto" w:fill="FFFFFF"/>
                <w:lang w:eastAsia="ar-SA"/>
              </w:rPr>
              <w:t>vitro</w:t>
            </w:r>
            <w:proofErr w:type="spellEnd"/>
            <w:r w:rsidRPr="00F77180">
              <w:rPr>
                <w:rFonts w:eastAsia="Arial"/>
                <w:shd w:val="clear" w:color="auto" w:fill="FFFFFF"/>
                <w:lang w:eastAsia="ar-SA"/>
              </w:rPr>
              <w:t>), автоматичний</w:t>
            </w:r>
          </w:p>
        </w:tc>
        <w:tc>
          <w:tcPr>
            <w:tcW w:w="1957" w:type="dxa"/>
            <w:tcBorders>
              <w:top w:val="single" w:sz="8" w:space="0" w:color="auto"/>
              <w:left w:val="nil"/>
              <w:bottom w:val="single" w:sz="8" w:space="0" w:color="auto"/>
              <w:right w:val="single" w:sz="8" w:space="0" w:color="auto"/>
            </w:tcBorders>
            <w:shd w:val="clear" w:color="auto" w:fill="auto"/>
            <w:vAlign w:val="center"/>
          </w:tcPr>
          <w:p w:rsidR="00102B32" w:rsidRPr="005A6C1E" w:rsidRDefault="00F77180" w:rsidP="00F77180">
            <w:pPr>
              <w:rPr>
                <w:color w:val="000000"/>
              </w:rPr>
            </w:pPr>
            <w:r>
              <w:rPr>
                <w:rFonts w:eastAsia="Arial"/>
                <w:shd w:val="clear" w:color="auto" w:fill="FFFFFF"/>
                <w:lang w:eastAsia="ar-SA"/>
              </w:rPr>
              <w:t>Аналізатор гематологічний</w:t>
            </w:r>
            <w:r w:rsidRPr="00F77180">
              <w:rPr>
                <w:rFonts w:eastAsia="Arial"/>
                <w:shd w:val="clear" w:color="auto" w:fill="FFFFFF"/>
                <w:lang w:eastAsia="ar-SA"/>
              </w:rPr>
              <w:t>, автоматичний</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102B32" w:rsidRPr="005A6C1E" w:rsidRDefault="002003D2" w:rsidP="00F61C26">
            <w:pPr>
              <w:jc w:val="center"/>
              <w:rPr>
                <w:color w:val="000000"/>
              </w:rPr>
            </w:pPr>
            <w:proofErr w:type="spellStart"/>
            <w:r w:rsidRPr="005A6C1E">
              <w:rPr>
                <w:color w:val="000000"/>
              </w:rPr>
              <w:t>шт</w:t>
            </w:r>
            <w:proofErr w:type="spellEnd"/>
          </w:p>
        </w:tc>
        <w:tc>
          <w:tcPr>
            <w:tcW w:w="851" w:type="dxa"/>
            <w:tcBorders>
              <w:top w:val="single" w:sz="8" w:space="0" w:color="auto"/>
              <w:left w:val="nil"/>
              <w:bottom w:val="single" w:sz="8" w:space="0" w:color="auto"/>
              <w:right w:val="single" w:sz="8" w:space="0" w:color="auto"/>
            </w:tcBorders>
            <w:vAlign w:val="center"/>
          </w:tcPr>
          <w:p w:rsidR="00102B32" w:rsidRPr="005A6C1E" w:rsidRDefault="00F77180" w:rsidP="00F61C26">
            <w:pPr>
              <w:jc w:val="center"/>
              <w:rPr>
                <w:color w:val="000000"/>
              </w:rPr>
            </w:pPr>
            <w:r>
              <w:rPr>
                <w:color w:val="000000"/>
              </w:rPr>
              <w:t>1</w:t>
            </w:r>
          </w:p>
        </w:tc>
      </w:tr>
    </w:tbl>
    <w:p w:rsidR="00102B32" w:rsidRPr="005A6C1E" w:rsidRDefault="00102B32" w:rsidP="00102B32">
      <w:pPr>
        <w:tabs>
          <w:tab w:val="left" w:pos="-851"/>
          <w:tab w:val="left" w:pos="-284"/>
          <w:tab w:val="left" w:pos="0"/>
        </w:tabs>
        <w:ind w:firstLine="709"/>
        <w:jc w:val="center"/>
        <w:rPr>
          <w:b/>
          <w:sz w:val="22"/>
          <w:szCs w:val="22"/>
        </w:rPr>
      </w:pPr>
    </w:p>
    <w:p w:rsidR="00102B32" w:rsidRPr="00B35EB0" w:rsidRDefault="00102B32" w:rsidP="00102B32">
      <w:pPr>
        <w:jc w:val="both"/>
        <w:rPr>
          <w:b/>
        </w:rPr>
      </w:pPr>
      <w:r w:rsidRPr="00B35EB0">
        <w:rPr>
          <w:b/>
        </w:rPr>
        <w:t>Загальні вимоги:</w:t>
      </w:r>
    </w:p>
    <w:p w:rsidR="00102B32" w:rsidRPr="00B35EB0" w:rsidRDefault="00102B32" w:rsidP="00102B32">
      <w:pPr>
        <w:jc w:val="both"/>
        <w:rPr>
          <w:rFonts w:cs="Lohit Devanagari"/>
          <w:color w:val="00000A"/>
          <w:lang w:eastAsia="zh-CN" w:bidi="hi-IN"/>
        </w:rPr>
      </w:pPr>
    </w:p>
    <w:p w:rsidR="00102B32" w:rsidRPr="00B35EB0" w:rsidRDefault="00102B32" w:rsidP="003E0DE2">
      <w:pPr>
        <w:spacing w:after="120"/>
        <w:jc w:val="both"/>
        <w:rPr>
          <w:rFonts w:cs="Lohit Devanagari"/>
          <w:color w:val="00000A"/>
          <w:lang w:eastAsia="zh-CN" w:bidi="hi-IN"/>
        </w:rPr>
      </w:pPr>
      <w:r w:rsidRPr="00B35EB0">
        <w:rPr>
          <w:rFonts w:cs="Lohit Devanagari"/>
          <w:color w:val="00000A"/>
          <w:lang w:eastAsia="zh-CN" w:bidi="hi-IN"/>
        </w:rPr>
        <w:t xml:space="preserve">1. </w:t>
      </w:r>
      <w:r w:rsidRPr="00B35EB0">
        <w:rPr>
          <w:rFonts w:cs="Lohit Devanagari"/>
          <w:color w:val="00000A"/>
          <w:lang w:eastAsia="ar-SA" w:bidi="hi-IN"/>
        </w:rPr>
        <w:t>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w:t>
      </w:r>
      <w:r w:rsidRPr="00B35EB0">
        <w:rPr>
          <w:rFonts w:cs="Lohit Devanagari"/>
          <w:color w:val="00000A"/>
          <w:lang w:eastAsia="zh-CN" w:bidi="hi-IN"/>
        </w:rPr>
        <w:t xml:space="preserve"> у даному додатку та всіх інших вимог тендерної документації.</w:t>
      </w:r>
    </w:p>
    <w:p w:rsidR="00EE18FE" w:rsidRPr="00B35EB0" w:rsidRDefault="00EE18FE" w:rsidP="003E0DE2">
      <w:pPr>
        <w:spacing w:after="120"/>
        <w:jc w:val="both"/>
        <w:rPr>
          <w:rFonts w:cs="Lohit Devanagari"/>
          <w:i/>
          <w:color w:val="00000A"/>
          <w:lang w:eastAsia="zh-CN" w:bidi="hi-IN"/>
        </w:rPr>
      </w:pPr>
      <w:r w:rsidRPr="00B35EB0">
        <w:rPr>
          <w:rFonts w:cs="Lohit Devanagari"/>
          <w:i/>
          <w:color w:val="00000A"/>
          <w:lang w:eastAsia="zh-CN" w:bidi="hi-I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(експлуатаційною документацією: настанова з експлуатації, або інструкція</w:t>
      </w:r>
      <w:r w:rsidR="00B35EB0" w:rsidRPr="00B35EB0">
        <w:rPr>
          <w:rFonts w:cs="Lohit Devanagari"/>
          <w:i/>
          <w:color w:val="00000A"/>
          <w:lang w:eastAsia="zh-CN" w:bidi="hi-IN"/>
        </w:rPr>
        <w:t xml:space="preserve"> користувача</w:t>
      </w:r>
      <w:r w:rsidRPr="00B35EB0">
        <w:rPr>
          <w:rFonts w:cs="Lohit Devanagari"/>
          <w:i/>
          <w:color w:val="00000A"/>
          <w:lang w:eastAsia="zh-CN" w:bidi="hi-IN"/>
        </w:rPr>
        <w:t>, або технічний опис чи технічні умови, або інші документи українською мовою, в яких міститься ця інформація та надана у вигляді паспорту або інструкції користувача або інше), з посиланням на відповідні розділи, та/або сторінку(и) технічного документу виробника</w:t>
      </w:r>
      <w:r w:rsidR="00F77180">
        <w:rPr>
          <w:rFonts w:cs="Lohit Devanagari"/>
          <w:i/>
          <w:color w:val="00000A"/>
          <w:lang w:eastAsia="zh-CN" w:bidi="hi-IN"/>
        </w:rPr>
        <w:t xml:space="preserve"> (копія експлуатаційної документації українською мовою надається у складі пропозиції учасника).</w:t>
      </w:r>
    </w:p>
    <w:p w:rsidR="00102B32" w:rsidRPr="00B35EB0" w:rsidRDefault="00102B32" w:rsidP="003E0DE2">
      <w:pPr>
        <w:spacing w:after="120"/>
        <w:jc w:val="both"/>
        <w:rPr>
          <w:rFonts w:cs="Lohit Devanagari"/>
          <w:color w:val="00000A"/>
          <w:lang w:eastAsia="zh-CN" w:bidi="hi-IN"/>
        </w:rPr>
      </w:pPr>
      <w:r w:rsidRPr="00B35EB0">
        <w:rPr>
          <w:rFonts w:cs="Lohit Devanagari"/>
          <w:color w:val="00000A"/>
          <w:lang w:eastAsia="zh-CN" w:bidi="hi-IN"/>
        </w:rPr>
        <w:t xml:space="preserve">2. Товар, запропонований учасником, повинен бути новим і </w:t>
      </w:r>
      <w:r w:rsidR="003E0DE2" w:rsidRPr="00B35EB0">
        <w:rPr>
          <w:rFonts w:cs="Lohit Devanagari"/>
          <w:color w:val="00000A"/>
          <w:lang w:eastAsia="zh-CN" w:bidi="hi-IN"/>
        </w:rPr>
        <w:t xml:space="preserve">таким, що не був у використанні, </w:t>
      </w:r>
      <w:r w:rsidRPr="00B35EB0">
        <w:rPr>
          <w:rFonts w:cs="Lohit Devanagari"/>
          <w:color w:val="00000A"/>
          <w:lang w:eastAsia="zh-CN" w:bidi="hi-IN"/>
        </w:rPr>
        <w:t>гарантійний термін (строк) експлуатації повине</w:t>
      </w:r>
      <w:r w:rsidR="002003D2" w:rsidRPr="00B35EB0">
        <w:rPr>
          <w:rFonts w:cs="Lohit Devanagari"/>
          <w:color w:val="00000A"/>
          <w:lang w:eastAsia="zh-CN" w:bidi="hi-IN"/>
        </w:rPr>
        <w:t xml:space="preserve">н становити не менше </w:t>
      </w:r>
      <w:r w:rsidR="00737763" w:rsidRPr="00B35EB0">
        <w:rPr>
          <w:rFonts w:cs="Lohit Devanagari"/>
          <w:color w:val="00000A"/>
          <w:lang w:eastAsia="zh-CN" w:bidi="hi-IN"/>
        </w:rPr>
        <w:t>1</w:t>
      </w:r>
      <w:r w:rsidR="00327E00" w:rsidRPr="00B35EB0">
        <w:rPr>
          <w:rFonts w:cs="Lohit Devanagari"/>
          <w:color w:val="00000A"/>
          <w:lang w:eastAsia="zh-CN" w:bidi="hi-IN"/>
        </w:rPr>
        <w:t>2</w:t>
      </w:r>
      <w:r w:rsidR="002003D2" w:rsidRPr="00B35EB0">
        <w:rPr>
          <w:rFonts w:cs="Lohit Devanagari"/>
          <w:color w:val="00000A"/>
          <w:lang w:eastAsia="zh-CN" w:bidi="hi-IN"/>
        </w:rPr>
        <w:t xml:space="preserve"> місяців.</w:t>
      </w:r>
    </w:p>
    <w:p w:rsidR="002003D2" w:rsidRPr="00B35EB0" w:rsidRDefault="002003D2" w:rsidP="003E0DE2">
      <w:pPr>
        <w:spacing w:after="120"/>
        <w:jc w:val="both"/>
        <w:rPr>
          <w:rFonts w:cs="Lohit Devanagari"/>
          <w:i/>
          <w:color w:val="00000A"/>
          <w:lang w:eastAsia="zh-CN" w:bidi="hi-IN"/>
        </w:rPr>
      </w:pPr>
      <w:r w:rsidRPr="00B35EB0">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102B32" w:rsidRPr="00B35EB0" w:rsidRDefault="00102B32" w:rsidP="003E0DE2">
      <w:pPr>
        <w:spacing w:after="120"/>
        <w:jc w:val="both"/>
        <w:rPr>
          <w:rFonts w:cs="Lohit Devanagari"/>
          <w:color w:val="00000A"/>
          <w:lang w:eastAsia="zh-CN" w:bidi="hi-IN"/>
        </w:rPr>
      </w:pPr>
      <w:r w:rsidRPr="00B35EB0">
        <w:rPr>
          <w:rFonts w:cs="Lohit Devanagari"/>
          <w:color w:val="00000A"/>
          <w:lang w:eastAsia="zh-CN"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F3273" w:rsidRPr="005A6C1E" w:rsidRDefault="00102B32" w:rsidP="003E0DE2">
      <w:pPr>
        <w:spacing w:after="120"/>
        <w:jc w:val="both"/>
        <w:rPr>
          <w:rFonts w:cs="Lohit Devanagari"/>
          <w:i/>
          <w:color w:val="00000A"/>
          <w:spacing w:val="1"/>
          <w:highlight w:val="yellow"/>
          <w:lang w:eastAsia="zh-CN" w:bidi="hi-IN"/>
        </w:rPr>
      </w:pPr>
      <w:r w:rsidRPr="00B35EB0">
        <w:rPr>
          <w:rFonts w:cs="Lohit Devanagari"/>
          <w:i/>
          <w:color w:val="00000A"/>
          <w:lang w:eastAsia="zh-CN" w:bidi="hi-IN"/>
        </w:rPr>
        <w:t xml:space="preserve">На підтвердження </w:t>
      </w:r>
      <w:r w:rsidR="00BF3273" w:rsidRPr="00B35EB0">
        <w:rPr>
          <w:rFonts w:cs="Lohit Devanagari"/>
          <w:i/>
          <w:color w:val="00000A"/>
          <w:lang w:eastAsia="zh-CN" w:bidi="hi-IN"/>
        </w:rPr>
        <w:t>відповідності вимогам, з</w:t>
      </w:r>
      <w:r w:rsidR="00BF3273" w:rsidRPr="00B35EB0">
        <w:rPr>
          <w:rFonts w:cs="Lohit Devanagari"/>
          <w:i/>
          <w:color w:val="00000A"/>
          <w:spacing w:val="1"/>
          <w:lang w:eastAsia="zh-CN" w:bidi="hi-IN"/>
        </w:rPr>
        <w:t xml:space="preserve"> метою запобігання закупівлі фальсифікатів та дотримання гарантій на своєчасне постачання товару, </w:t>
      </w:r>
      <w:r w:rsidR="00B35EB0" w:rsidRPr="00B35EB0">
        <w:rPr>
          <w:rFonts w:cs="Lohit Devanagari"/>
          <w:i/>
          <w:color w:val="00000A"/>
          <w:spacing w:val="1"/>
          <w:lang w:eastAsia="zh-CN" w:bidi="hi-IN"/>
        </w:rPr>
        <w:t xml:space="preserve">учасник повинен надати файл </w:t>
      </w:r>
      <w:proofErr w:type="spellStart"/>
      <w:r w:rsidR="00B35EB0" w:rsidRPr="00B35EB0">
        <w:rPr>
          <w:rFonts w:cs="Lohit Devanagari"/>
          <w:i/>
          <w:color w:val="00000A"/>
          <w:spacing w:val="1"/>
          <w:lang w:eastAsia="zh-CN" w:bidi="hi-IN"/>
        </w:rPr>
        <w:t>відсканований</w:t>
      </w:r>
      <w:proofErr w:type="spellEnd"/>
      <w:r w:rsidR="00B35EB0" w:rsidRPr="00B35EB0">
        <w:rPr>
          <w:rFonts w:cs="Lohit Devanagari"/>
          <w:i/>
          <w:color w:val="00000A"/>
          <w:spacing w:val="1"/>
          <w:lang w:eastAsia="zh-CN" w:bidi="hi-IN"/>
        </w:rPr>
        <w:t xml:space="preserve">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та пропозицією учасника, із зазначенням повної назви учасника, номера оголошення, назви предмету закупівлі, назви товару, кількості.</w:t>
      </w:r>
    </w:p>
    <w:p w:rsidR="00102B32" w:rsidRPr="005A6C1E" w:rsidRDefault="00102B32" w:rsidP="003E0DE2">
      <w:pPr>
        <w:spacing w:after="120"/>
        <w:jc w:val="both"/>
        <w:rPr>
          <w:rFonts w:cs="Lohit Devanagari"/>
          <w:color w:val="00000A"/>
          <w:lang w:eastAsia="zh-CN" w:bidi="hi-IN"/>
        </w:rPr>
      </w:pPr>
      <w:r w:rsidRPr="005A6C1E">
        <w:rPr>
          <w:rFonts w:cs="Lohit Devanagari"/>
          <w:color w:val="00000A"/>
          <w:lang w:eastAsia="zh-CN" w:bidi="hi-IN"/>
        </w:rPr>
        <w:t>4. Учасник повинен провести кваліфікований інструктаж працівників замовника по користуванню запропонованим обладнанням.</w:t>
      </w:r>
    </w:p>
    <w:p w:rsidR="00102B32" w:rsidRPr="005A6C1E" w:rsidRDefault="00102B32" w:rsidP="003E0DE2">
      <w:pPr>
        <w:spacing w:after="120"/>
        <w:jc w:val="both"/>
        <w:rPr>
          <w:rFonts w:cs="Lohit Devanagari"/>
          <w:i/>
          <w:color w:val="00000A"/>
          <w:lang w:eastAsia="zh-CN" w:bidi="hi-IN"/>
        </w:rPr>
      </w:pPr>
      <w:r w:rsidRPr="005A6C1E">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102B32" w:rsidRPr="005A6C1E" w:rsidRDefault="00102B32" w:rsidP="003E0DE2">
      <w:pPr>
        <w:spacing w:after="120"/>
        <w:jc w:val="both"/>
        <w:rPr>
          <w:rFonts w:cs="Lohit Devanagari"/>
          <w:color w:val="00000A"/>
          <w:lang w:eastAsia="zh-CN" w:bidi="hi-IN"/>
        </w:rPr>
      </w:pPr>
      <w:r w:rsidRPr="005A6C1E">
        <w:rPr>
          <w:rFonts w:cs="Lohit Devanagari"/>
          <w:color w:val="00000A"/>
          <w:lang w:eastAsia="zh-CN" w:bidi="hi-I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2003D2" w:rsidRPr="00B35EB0" w:rsidRDefault="002003D2" w:rsidP="003E0DE2">
      <w:pPr>
        <w:spacing w:after="120"/>
        <w:jc w:val="both"/>
        <w:rPr>
          <w:rFonts w:cs="Lohit Devanagari"/>
          <w:i/>
          <w:color w:val="00000A"/>
          <w:lang w:eastAsia="zh-CN" w:bidi="hi-IN"/>
        </w:rPr>
      </w:pPr>
      <w:r w:rsidRPr="005A6C1E">
        <w:rPr>
          <w:rFonts w:cs="Lohit Devanagari"/>
          <w:i/>
          <w:color w:val="00000A"/>
          <w:lang w:eastAsia="zh-CN" w:bidi="hi-IN"/>
        </w:rPr>
        <w:t xml:space="preserve">На підтвердження учасник повинен надати </w:t>
      </w:r>
      <w:r w:rsidR="00F77180">
        <w:rPr>
          <w:rFonts w:cs="Lohit Devanagari"/>
          <w:i/>
          <w:color w:val="00000A"/>
          <w:lang w:eastAsia="zh-CN" w:bidi="hi-IN"/>
        </w:rPr>
        <w:t>гарантійний лист щодо відповідності вимогам з зазначенням сервісної служби на території України</w:t>
      </w:r>
      <w:r w:rsidRPr="00B35EB0">
        <w:rPr>
          <w:rFonts w:cs="Lohit Devanagari"/>
          <w:i/>
          <w:color w:val="00000A"/>
          <w:lang w:eastAsia="zh-CN" w:bidi="hi-IN"/>
        </w:rPr>
        <w:t xml:space="preserve">. </w:t>
      </w:r>
    </w:p>
    <w:p w:rsidR="00327E00" w:rsidRPr="00B35EB0" w:rsidRDefault="00102B32" w:rsidP="003E0DE2">
      <w:pPr>
        <w:spacing w:after="120"/>
        <w:jc w:val="both"/>
        <w:rPr>
          <w:rFonts w:cs="Lohit Devanagari"/>
          <w:color w:val="00000A"/>
          <w:lang w:eastAsia="zh-CN" w:bidi="hi-IN"/>
        </w:rPr>
      </w:pPr>
      <w:r w:rsidRPr="00B35EB0">
        <w:rPr>
          <w:rFonts w:cs="Lohit Devanagari"/>
          <w:color w:val="00000A"/>
          <w:lang w:eastAsia="zh-CN" w:bidi="hi-IN"/>
        </w:rPr>
        <w:t xml:space="preserve">6. </w:t>
      </w:r>
      <w:r w:rsidR="00327E00" w:rsidRPr="00B35EB0">
        <w:rPr>
          <w:rFonts w:cs="Lohit Devanagari"/>
          <w:color w:val="00000A"/>
          <w:lang w:eastAsia="zh-CN" w:bidi="hi-IN"/>
        </w:rPr>
        <w:t xml:space="preserve">Товар, запропонований </w:t>
      </w:r>
      <w:r w:rsidR="00EE18FE" w:rsidRPr="00B35EB0">
        <w:rPr>
          <w:rFonts w:cs="Lohit Devanagari"/>
          <w:color w:val="00000A"/>
          <w:lang w:eastAsia="zh-CN" w:bidi="hi-IN"/>
        </w:rPr>
        <w:t>у</w:t>
      </w:r>
      <w:r w:rsidR="00327E00" w:rsidRPr="00B35EB0">
        <w:rPr>
          <w:rFonts w:cs="Lohit Devanagari"/>
          <w:color w:val="00000A"/>
          <w:lang w:eastAsia="zh-CN" w:bidi="hi-IN"/>
        </w:rPr>
        <w:t xml:space="preserve">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B35EB0" w:rsidRDefault="00B35EB0" w:rsidP="003E0DE2">
      <w:pPr>
        <w:spacing w:after="120"/>
        <w:jc w:val="both"/>
        <w:rPr>
          <w:rFonts w:cs="Lohit Devanagari"/>
          <w:i/>
          <w:color w:val="00000A"/>
          <w:lang w:eastAsia="zh-CN" w:bidi="hi-IN"/>
        </w:rPr>
      </w:pPr>
      <w:r>
        <w:rPr>
          <w:rFonts w:cs="Lohit Devanagari"/>
          <w:i/>
          <w:color w:val="00000A"/>
          <w:lang w:eastAsia="zh-CN" w:bidi="hi-IN"/>
        </w:rPr>
        <w:t>На підтвердження у</w:t>
      </w:r>
      <w:r w:rsidRPr="00B35EB0">
        <w:rPr>
          <w:rFonts w:cs="Lohit Devanagari"/>
          <w:i/>
          <w:color w:val="00000A"/>
          <w:lang w:eastAsia="zh-CN" w:bidi="hi-IN"/>
        </w:rPr>
        <w:t xml:space="preserve">часник </w:t>
      </w:r>
      <w:r w:rsidR="00F77180">
        <w:rPr>
          <w:rFonts w:cs="Lohit Devanagari"/>
          <w:i/>
          <w:color w:val="00000A"/>
          <w:lang w:eastAsia="zh-CN" w:bidi="hi-IN"/>
        </w:rPr>
        <w:t>повинен надати копію декларації (сертифікату)</w:t>
      </w:r>
      <w:r>
        <w:rPr>
          <w:rFonts w:cs="Lohit Devanagari"/>
          <w:i/>
          <w:color w:val="00000A"/>
          <w:lang w:eastAsia="zh-CN" w:bidi="hi-IN"/>
        </w:rPr>
        <w:t>, що підтверджують можливість</w:t>
      </w:r>
      <w:r w:rsidRPr="00B35EB0">
        <w:rPr>
          <w:rFonts w:cs="Lohit Devanagari"/>
          <w:i/>
          <w:color w:val="00000A"/>
          <w:lang w:eastAsia="zh-CN" w:bidi="hi-IN"/>
        </w:rPr>
        <w:t xml:space="preserve">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w:t>
      </w:r>
      <w:r w:rsidR="00F77180">
        <w:rPr>
          <w:rFonts w:cs="Lohit Devanagari"/>
          <w:i/>
          <w:color w:val="00000A"/>
          <w:lang w:eastAsia="zh-CN" w:bidi="hi-IN"/>
        </w:rPr>
        <w:t>регламенту, завірену належним чином</w:t>
      </w:r>
      <w:r w:rsidRPr="00B35EB0">
        <w:rPr>
          <w:rFonts w:cs="Lohit Devanagari"/>
          <w:i/>
          <w:color w:val="00000A"/>
          <w:lang w:eastAsia="zh-CN" w:bidi="hi-IN"/>
        </w:rPr>
        <w:t>.</w:t>
      </w:r>
    </w:p>
    <w:p w:rsidR="00102B32" w:rsidRPr="005A6C1E" w:rsidRDefault="00102B32" w:rsidP="003E0DE2">
      <w:pPr>
        <w:spacing w:after="120"/>
        <w:jc w:val="both"/>
        <w:rPr>
          <w:rFonts w:cs="Lohit Devanagari"/>
          <w:color w:val="00000A"/>
          <w:lang w:eastAsia="zh-CN" w:bidi="hi-IN"/>
        </w:rPr>
      </w:pPr>
      <w:r w:rsidRPr="005A6C1E">
        <w:rPr>
          <w:rFonts w:cs="Lohit Devanagari"/>
          <w:color w:val="00000A"/>
          <w:lang w:eastAsia="zh-CN" w:bidi="hi-IN"/>
        </w:rPr>
        <w:t xml:space="preserve">7. Проведення доставки, </w:t>
      </w:r>
      <w:proofErr w:type="spellStart"/>
      <w:r w:rsidRPr="005A6C1E">
        <w:rPr>
          <w:rFonts w:cs="Lohit Devanagari"/>
          <w:color w:val="00000A"/>
          <w:lang w:eastAsia="zh-CN" w:bidi="hi-IN"/>
        </w:rPr>
        <w:t>інcталяції</w:t>
      </w:r>
      <w:proofErr w:type="spellEnd"/>
      <w:r w:rsidRPr="005A6C1E">
        <w:rPr>
          <w:rFonts w:cs="Lohit Devanagari"/>
          <w:color w:val="00000A"/>
          <w:lang w:eastAsia="zh-CN" w:bidi="hi-IN"/>
        </w:rPr>
        <w:t xml:space="preserve"> та пуску обладнання </w:t>
      </w:r>
      <w:r w:rsidR="00E55A70" w:rsidRPr="005A6C1E">
        <w:rPr>
          <w:rFonts w:cs="Lohit Devanagari"/>
          <w:color w:val="00000A"/>
          <w:lang w:eastAsia="zh-CN" w:bidi="hi-IN"/>
        </w:rPr>
        <w:t xml:space="preserve">здійснюється </w:t>
      </w:r>
      <w:r w:rsidRPr="005A6C1E">
        <w:rPr>
          <w:rFonts w:cs="Lohit Devanagari"/>
          <w:color w:val="00000A"/>
          <w:lang w:eastAsia="zh-CN" w:bidi="hi-IN"/>
        </w:rPr>
        <w:t>за рахунок учасника.</w:t>
      </w:r>
      <w:r w:rsidR="0035704D" w:rsidRPr="005A6C1E">
        <w:rPr>
          <w:rFonts w:cs="Lohit Devanagari"/>
          <w:color w:val="00000A"/>
          <w:lang w:eastAsia="zh-CN" w:bidi="hi-IN"/>
        </w:rPr>
        <w:t xml:space="preserve"> </w:t>
      </w:r>
    </w:p>
    <w:p w:rsidR="00DA7800" w:rsidRPr="005A6C1E" w:rsidRDefault="002003D2" w:rsidP="00AF0CCF">
      <w:pPr>
        <w:spacing w:after="120"/>
        <w:jc w:val="both"/>
        <w:rPr>
          <w:rFonts w:cs="Lohit Devanagari"/>
          <w:i/>
          <w:color w:val="00000A"/>
          <w:lang w:eastAsia="zh-CN" w:bidi="hi-IN"/>
        </w:rPr>
      </w:pPr>
      <w:r w:rsidRPr="005A6C1E">
        <w:rPr>
          <w:rFonts w:cs="Lohit Devanagari"/>
          <w:i/>
          <w:color w:val="00000A"/>
          <w:lang w:eastAsia="zh-CN" w:bidi="hi-IN"/>
        </w:rPr>
        <w:t xml:space="preserve">На підтвердження учасник повинен надати гарантійний лист в довільній формі щодо відповідності вимогам. </w:t>
      </w:r>
    </w:p>
    <w:p w:rsidR="00F77180" w:rsidRDefault="00F77180">
      <w:pPr>
        <w:spacing w:after="160" w:line="259" w:lineRule="auto"/>
        <w:rPr>
          <w:b/>
        </w:rPr>
      </w:pPr>
      <w:r>
        <w:rPr>
          <w:b/>
        </w:rPr>
        <w:br w:type="page"/>
      </w:r>
    </w:p>
    <w:p w:rsidR="002003D2" w:rsidRPr="00F77180" w:rsidRDefault="007D3708" w:rsidP="007D3708">
      <w:pPr>
        <w:tabs>
          <w:tab w:val="left" w:pos="1455"/>
        </w:tabs>
        <w:jc w:val="center"/>
        <w:rPr>
          <w:b/>
        </w:rPr>
      </w:pPr>
      <w:r w:rsidRPr="005A6C1E">
        <w:rPr>
          <w:b/>
        </w:rPr>
        <w:lastRenderedPageBreak/>
        <w:t>Медико-т</w:t>
      </w:r>
      <w:r w:rsidR="00102B32" w:rsidRPr="005A6C1E">
        <w:rPr>
          <w:b/>
        </w:rPr>
        <w:t>ехнічні вимоги</w:t>
      </w:r>
      <w:r w:rsidRPr="005A6C1E">
        <w:rPr>
          <w:b/>
        </w:rPr>
        <w:t xml:space="preserve">: </w:t>
      </w:r>
      <w:r w:rsidR="00F77180" w:rsidRPr="00F77180">
        <w:rPr>
          <w:b/>
        </w:rPr>
        <w:t xml:space="preserve">Аналізатор гематологічний IVD (діагностика </w:t>
      </w:r>
      <w:proofErr w:type="spellStart"/>
      <w:r w:rsidR="00F77180" w:rsidRPr="00F77180">
        <w:rPr>
          <w:b/>
        </w:rPr>
        <w:t>in</w:t>
      </w:r>
      <w:proofErr w:type="spellEnd"/>
      <w:r w:rsidR="00F77180" w:rsidRPr="00F77180">
        <w:rPr>
          <w:b/>
        </w:rPr>
        <w:t xml:space="preserve"> </w:t>
      </w:r>
      <w:proofErr w:type="spellStart"/>
      <w:r w:rsidR="00F77180" w:rsidRPr="00F77180">
        <w:rPr>
          <w:b/>
        </w:rPr>
        <w:t>vitro</w:t>
      </w:r>
      <w:proofErr w:type="spellEnd"/>
      <w:r w:rsidR="00F77180" w:rsidRPr="00F77180">
        <w:rPr>
          <w:b/>
        </w:rPr>
        <w:t>), автоматичний</w:t>
      </w:r>
    </w:p>
    <w:p w:rsidR="00102B32" w:rsidRPr="005A6C1E" w:rsidRDefault="00102B32" w:rsidP="00102B32">
      <w:pPr>
        <w:tabs>
          <w:tab w:val="left" w:pos="1455"/>
        </w:tabs>
        <w:jc w:val="both"/>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4541"/>
        <w:gridCol w:w="3245"/>
        <w:gridCol w:w="1416"/>
      </w:tblGrid>
      <w:tr w:rsidR="00102B32" w:rsidRPr="005A6C1E" w:rsidTr="00DA423D">
        <w:tc>
          <w:tcPr>
            <w:tcW w:w="466" w:type="dxa"/>
            <w:shd w:val="clear" w:color="auto" w:fill="auto"/>
            <w:vAlign w:val="center"/>
          </w:tcPr>
          <w:p w:rsidR="00102B32" w:rsidRPr="005A6C1E" w:rsidRDefault="00102B32" w:rsidP="00F61C26">
            <w:pPr>
              <w:ind w:left="-108"/>
              <w:jc w:val="center"/>
              <w:rPr>
                <w:b/>
                <w:sz w:val="18"/>
                <w:szCs w:val="18"/>
              </w:rPr>
            </w:pPr>
            <w:r w:rsidRPr="005A6C1E">
              <w:rPr>
                <w:b/>
                <w:sz w:val="18"/>
                <w:szCs w:val="18"/>
              </w:rPr>
              <w:t>№</w:t>
            </w:r>
          </w:p>
        </w:tc>
        <w:tc>
          <w:tcPr>
            <w:tcW w:w="4541" w:type="dxa"/>
            <w:shd w:val="clear" w:color="auto" w:fill="auto"/>
            <w:vAlign w:val="center"/>
          </w:tcPr>
          <w:p w:rsidR="00102B32" w:rsidRPr="005A6C1E" w:rsidRDefault="00102B32" w:rsidP="00F61C26">
            <w:pPr>
              <w:jc w:val="center"/>
              <w:rPr>
                <w:b/>
                <w:sz w:val="18"/>
                <w:szCs w:val="18"/>
              </w:rPr>
            </w:pPr>
            <w:r w:rsidRPr="005A6C1E">
              <w:rPr>
                <w:b/>
                <w:sz w:val="18"/>
                <w:szCs w:val="18"/>
              </w:rPr>
              <w:t>Параметри</w:t>
            </w:r>
          </w:p>
        </w:tc>
        <w:tc>
          <w:tcPr>
            <w:tcW w:w="3245" w:type="dxa"/>
            <w:shd w:val="clear" w:color="auto" w:fill="auto"/>
            <w:vAlign w:val="center"/>
          </w:tcPr>
          <w:p w:rsidR="00102B32" w:rsidRPr="005A6C1E" w:rsidRDefault="00102B32" w:rsidP="00F61C26">
            <w:pPr>
              <w:jc w:val="center"/>
              <w:rPr>
                <w:b/>
                <w:sz w:val="18"/>
                <w:szCs w:val="18"/>
              </w:rPr>
            </w:pPr>
            <w:r w:rsidRPr="005A6C1E">
              <w:rPr>
                <w:b/>
                <w:sz w:val="18"/>
                <w:szCs w:val="18"/>
              </w:rPr>
              <w:t>Вимоги</w:t>
            </w:r>
          </w:p>
        </w:tc>
        <w:tc>
          <w:tcPr>
            <w:tcW w:w="1416" w:type="dxa"/>
            <w:vAlign w:val="center"/>
          </w:tcPr>
          <w:p w:rsidR="00102B32" w:rsidRPr="005A6C1E" w:rsidRDefault="00102B32" w:rsidP="00F61C26">
            <w:pPr>
              <w:jc w:val="center"/>
              <w:rPr>
                <w:b/>
                <w:sz w:val="18"/>
                <w:szCs w:val="18"/>
              </w:rPr>
            </w:pPr>
            <w:r w:rsidRPr="005A6C1E">
              <w:rPr>
                <w:b/>
                <w:sz w:val="18"/>
                <w:szCs w:val="18"/>
              </w:rPr>
              <w:t>Відповідність (так/ні) з посиланням на сторінку відповідного документу</w:t>
            </w:r>
          </w:p>
        </w:tc>
      </w:tr>
      <w:tr w:rsidR="00F77180" w:rsidRPr="005A6C1E" w:rsidTr="007A5156">
        <w:tc>
          <w:tcPr>
            <w:tcW w:w="466" w:type="dxa"/>
            <w:shd w:val="clear" w:color="auto" w:fill="auto"/>
            <w:vAlign w:val="center"/>
          </w:tcPr>
          <w:p w:rsidR="00F77180" w:rsidRPr="005A6C1E" w:rsidRDefault="00F77180" w:rsidP="00F77180">
            <w:pPr>
              <w:ind w:right="-108"/>
            </w:pPr>
            <w:r>
              <w:t>1</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Автоматичний гематологічний аналізатор з функцією повного автоматичного вимірювання від моменту подач</w:t>
            </w:r>
            <w:r>
              <w:rPr>
                <w:rFonts w:ascii="Times New Roman" w:eastAsia="Times New Roman" w:hAnsi="Times New Roman" w:cs="Times New Roman"/>
                <w:bCs/>
                <w:spacing w:val="-7"/>
                <w:lang w:val="uk-UA" w:eastAsia="ru-RU"/>
              </w:rPr>
              <w:t>і проби до отримання результату</w:t>
            </w:r>
          </w:p>
        </w:tc>
        <w:tc>
          <w:tcPr>
            <w:tcW w:w="3245" w:type="dxa"/>
            <w:shd w:val="clear" w:color="auto" w:fill="auto"/>
            <w:vAlign w:val="center"/>
          </w:tcPr>
          <w:p w:rsidR="00F77180" w:rsidRPr="00F77180" w:rsidRDefault="00F77180" w:rsidP="00F77180">
            <w: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Продуктивність аналізатора </w:t>
            </w:r>
          </w:p>
        </w:tc>
        <w:tc>
          <w:tcPr>
            <w:tcW w:w="3245" w:type="dxa"/>
            <w:shd w:val="clear" w:color="auto" w:fill="auto"/>
          </w:tcPr>
          <w:p w:rsidR="00F77180" w:rsidRPr="00AF0CCF" w:rsidRDefault="00F77180" w:rsidP="00F77180">
            <w:pPr>
              <w:rPr>
                <w:bCs/>
                <w:spacing w:val="-7"/>
              </w:rPr>
            </w:pPr>
            <w:r w:rsidRPr="00F77180">
              <w:rPr>
                <w:bCs/>
                <w:spacing w:val="-7"/>
              </w:rPr>
              <w:t xml:space="preserve">не менш ніж </w:t>
            </w:r>
            <w:r>
              <w:rPr>
                <w:bCs/>
                <w:spacing w:val="-7"/>
              </w:rPr>
              <w:t>60 тестів на годину</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3</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Принципи вимірювання: </w:t>
            </w:r>
            <w:proofErr w:type="spellStart"/>
            <w:r w:rsidRPr="00F77180">
              <w:rPr>
                <w:rFonts w:ascii="Times New Roman" w:eastAsia="Times New Roman" w:hAnsi="Times New Roman" w:cs="Times New Roman"/>
                <w:bCs/>
                <w:spacing w:val="-7"/>
                <w:lang w:val="uk-UA" w:eastAsia="ru-RU"/>
              </w:rPr>
              <w:t>імпедансний</w:t>
            </w:r>
            <w:proofErr w:type="spellEnd"/>
            <w:r w:rsidRPr="00F77180">
              <w:rPr>
                <w:rFonts w:ascii="Times New Roman" w:eastAsia="Times New Roman" w:hAnsi="Times New Roman" w:cs="Times New Roman"/>
                <w:bCs/>
                <w:spacing w:val="-7"/>
                <w:lang w:val="uk-UA" w:eastAsia="ru-RU"/>
              </w:rPr>
              <w:t xml:space="preserve"> метод для визначення RBC та PLT; колориметричний метод для визначення HGB; проточна лазерна </w:t>
            </w:r>
            <w:proofErr w:type="spellStart"/>
            <w:r w:rsidRPr="00F77180">
              <w:rPr>
                <w:rFonts w:ascii="Times New Roman" w:eastAsia="Times New Roman" w:hAnsi="Times New Roman" w:cs="Times New Roman"/>
                <w:bCs/>
                <w:spacing w:val="-7"/>
                <w:lang w:val="uk-UA" w:eastAsia="ru-RU"/>
              </w:rPr>
              <w:t>цитометрія</w:t>
            </w:r>
            <w:proofErr w:type="spellEnd"/>
            <w:r w:rsidRPr="00F77180">
              <w:rPr>
                <w:rFonts w:ascii="Times New Roman" w:eastAsia="Times New Roman" w:hAnsi="Times New Roman" w:cs="Times New Roman"/>
                <w:bCs/>
                <w:spacing w:val="-7"/>
                <w:lang w:val="uk-UA" w:eastAsia="ru-RU"/>
              </w:rPr>
              <w:t xml:space="preserve"> для визначення WBC. Результати за іншими пара</w:t>
            </w:r>
            <w:r>
              <w:rPr>
                <w:rFonts w:ascii="Times New Roman" w:eastAsia="Times New Roman" w:hAnsi="Times New Roman" w:cs="Times New Roman"/>
                <w:bCs/>
                <w:spacing w:val="-7"/>
                <w:lang w:val="uk-UA" w:eastAsia="ru-RU"/>
              </w:rPr>
              <w:t>метрами повинні розраховуватися</w:t>
            </w:r>
          </w:p>
        </w:tc>
        <w:tc>
          <w:tcPr>
            <w:tcW w:w="3245" w:type="dxa"/>
            <w:shd w:val="clear" w:color="auto" w:fill="auto"/>
          </w:tcPr>
          <w:p w:rsidR="00F77180" w:rsidRPr="00AF0CCF" w:rsidRDefault="00F77180" w:rsidP="00F77180">
            <w:pPr>
              <w:rPr>
                <w:bCs/>
                <w:spacing w:val="-7"/>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4</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Типи зразків: венозна кров, капілярна </w:t>
            </w:r>
            <w:r>
              <w:rPr>
                <w:rFonts w:ascii="Times New Roman" w:eastAsia="Times New Roman" w:hAnsi="Times New Roman" w:cs="Times New Roman"/>
                <w:bCs/>
                <w:spacing w:val="-7"/>
                <w:lang w:val="uk-UA" w:eastAsia="ru-RU"/>
              </w:rPr>
              <w:t>кров, попередньо розведена кров</w:t>
            </w:r>
          </w:p>
        </w:tc>
        <w:tc>
          <w:tcPr>
            <w:tcW w:w="3245" w:type="dxa"/>
            <w:shd w:val="clear" w:color="auto" w:fill="auto"/>
          </w:tcPr>
          <w:p w:rsidR="00F77180" w:rsidRPr="00AF0CCF" w:rsidRDefault="00F77180" w:rsidP="00F77180">
            <w:pPr>
              <w:ind w:right="-365"/>
              <w:rPr>
                <w:bCs/>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5</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Об’єм зразка мінімальний при дослідженні проби цільної крові не повинен перевищувати 12 </w:t>
            </w:r>
            <w:proofErr w:type="spellStart"/>
            <w:r w:rsidRPr="00F77180">
              <w:rPr>
                <w:rFonts w:ascii="Times New Roman" w:eastAsia="Times New Roman" w:hAnsi="Times New Roman" w:cs="Times New Roman"/>
                <w:bCs/>
                <w:spacing w:val="-7"/>
                <w:lang w:val="uk-UA" w:eastAsia="ru-RU"/>
              </w:rPr>
              <w:t>мкл</w:t>
            </w:r>
            <w:proofErr w:type="spellEnd"/>
            <w:r w:rsidRPr="00F77180">
              <w:rPr>
                <w:rFonts w:ascii="Times New Roman" w:eastAsia="Times New Roman" w:hAnsi="Times New Roman" w:cs="Times New Roman"/>
                <w:bCs/>
                <w:spacing w:val="-7"/>
                <w:lang w:val="uk-UA" w:eastAsia="ru-RU"/>
              </w:rPr>
              <w:t>,</w:t>
            </w:r>
          </w:p>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 режимі попереднього розведення не більш ніж 20 </w:t>
            </w:r>
            <w:proofErr w:type="spellStart"/>
            <w:r w:rsidRPr="00F77180">
              <w:rPr>
                <w:rFonts w:ascii="Times New Roman" w:eastAsia="Times New Roman" w:hAnsi="Times New Roman" w:cs="Times New Roman"/>
                <w:bCs/>
                <w:spacing w:val="-7"/>
                <w:lang w:val="uk-UA" w:eastAsia="ru-RU"/>
              </w:rPr>
              <w:t>мкл</w:t>
            </w:r>
            <w:proofErr w:type="spellEnd"/>
          </w:p>
        </w:tc>
        <w:tc>
          <w:tcPr>
            <w:tcW w:w="3245" w:type="dxa"/>
            <w:shd w:val="clear" w:color="auto" w:fill="auto"/>
          </w:tcPr>
          <w:p w:rsidR="00F77180" w:rsidRPr="00AF0CCF" w:rsidRDefault="00F77180" w:rsidP="00F77180">
            <w:pPr>
              <w:ind w:right="-365"/>
              <w:rPr>
                <w:bCs/>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6</w:t>
            </w:r>
          </w:p>
        </w:tc>
        <w:tc>
          <w:tcPr>
            <w:tcW w:w="4541" w:type="dxa"/>
            <w:shd w:val="clear" w:color="auto" w:fill="auto"/>
          </w:tcPr>
          <w:p w:rsidR="00F77180" w:rsidRPr="00F77180" w:rsidRDefault="00F77180" w:rsidP="00F77180">
            <w:pPr>
              <w:pStyle w:val="Default"/>
              <w:tabs>
                <w:tab w:val="left" w:pos="215"/>
              </w:tabs>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Визначувані параметри не менше 40: </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кількість лейкоцитів;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відсотковий вміст </w:t>
            </w:r>
            <w:proofErr w:type="spellStart"/>
            <w:r w:rsidRPr="00F77180">
              <w:rPr>
                <w:rFonts w:ascii="Times New Roman" w:eastAsia="Times New Roman" w:hAnsi="Times New Roman" w:cs="Times New Roman"/>
                <w:bCs/>
                <w:spacing w:val="-7"/>
                <w:lang w:val="uk-UA" w:eastAsia="ru-RU"/>
              </w:rPr>
              <w:t>нейтрофілів</w:t>
            </w:r>
            <w:proofErr w:type="spellEnd"/>
            <w:r w:rsidRPr="00F77180">
              <w:rPr>
                <w:rFonts w:ascii="Times New Roman" w:eastAsia="Times New Roman" w:hAnsi="Times New Roman" w:cs="Times New Roman"/>
                <w:bCs/>
                <w:spacing w:val="-7"/>
                <w:lang w:val="uk-UA" w:eastAsia="ru-RU"/>
              </w:rPr>
              <w:t>;</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моноцитів;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еозинофілів;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базофілів;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абсолютна кількість </w:t>
            </w:r>
            <w:proofErr w:type="spellStart"/>
            <w:r w:rsidRPr="00F77180">
              <w:rPr>
                <w:rFonts w:ascii="Times New Roman" w:eastAsia="Times New Roman" w:hAnsi="Times New Roman" w:cs="Times New Roman"/>
                <w:bCs/>
                <w:spacing w:val="-7"/>
                <w:lang w:val="uk-UA" w:eastAsia="ru-RU"/>
              </w:rPr>
              <w:t>нейтрофілів</w:t>
            </w:r>
            <w:proofErr w:type="spellEnd"/>
            <w:r w:rsidRPr="00F77180">
              <w:rPr>
                <w:rFonts w:ascii="Times New Roman" w:eastAsia="Times New Roman" w:hAnsi="Times New Roman" w:cs="Times New Roman"/>
                <w:bCs/>
                <w:spacing w:val="-7"/>
                <w:lang w:val="uk-UA" w:eastAsia="ru-RU"/>
              </w:rPr>
              <w:t>;</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моноцитів;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еозинофілів;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базофілів;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відсоток патологічних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патологічних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великих незрілих клітин;</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великих незрілих клітин;</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відношення </w:t>
            </w:r>
            <w:proofErr w:type="spellStart"/>
            <w:r w:rsidRPr="00F77180">
              <w:rPr>
                <w:rFonts w:ascii="Times New Roman" w:eastAsia="Times New Roman" w:hAnsi="Times New Roman" w:cs="Times New Roman"/>
                <w:bCs/>
                <w:spacing w:val="-7"/>
                <w:lang w:val="uk-UA" w:eastAsia="ru-RU"/>
              </w:rPr>
              <w:t>нейтрофілів</w:t>
            </w:r>
            <w:proofErr w:type="spellEnd"/>
            <w:r w:rsidRPr="00F77180">
              <w:rPr>
                <w:rFonts w:ascii="Times New Roman" w:eastAsia="Times New Roman" w:hAnsi="Times New Roman" w:cs="Times New Roman"/>
                <w:bCs/>
                <w:spacing w:val="-7"/>
                <w:lang w:val="uk-UA" w:eastAsia="ru-RU"/>
              </w:rPr>
              <w:t xml:space="preserve"> до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абсолютна кількість </w:t>
            </w:r>
            <w:proofErr w:type="spellStart"/>
            <w:r w:rsidRPr="00F77180">
              <w:rPr>
                <w:rFonts w:ascii="Times New Roman" w:eastAsia="Times New Roman" w:hAnsi="Times New Roman" w:cs="Times New Roman"/>
                <w:bCs/>
                <w:spacing w:val="-7"/>
                <w:lang w:val="uk-UA" w:eastAsia="ru-RU"/>
              </w:rPr>
              <w:t>ядровмісних</w:t>
            </w:r>
            <w:proofErr w:type="spellEnd"/>
            <w:r w:rsidRPr="00F77180">
              <w:rPr>
                <w:rFonts w:ascii="Times New Roman" w:eastAsia="Times New Roman" w:hAnsi="Times New Roman" w:cs="Times New Roman"/>
                <w:bCs/>
                <w:spacing w:val="-7"/>
                <w:lang w:val="uk-UA" w:eastAsia="ru-RU"/>
              </w:rPr>
              <w:t xml:space="preserve"> еритроцитів;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відсотковий вміст </w:t>
            </w:r>
            <w:proofErr w:type="spellStart"/>
            <w:r w:rsidRPr="00F77180">
              <w:rPr>
                <w:rFonts w:ascii="Times New Roman" w:eastAsia="Times New Roman" w:hAnsi="Times New Roman" w:cs="Times New Roman"/>
                <w:bCs/>
                <w:spacing w:val="-7"/>
                <w:lang w:val="uk-UA" w:eastAsia="ru-RU"/>
              </w:rPr>
              <w:t>ядровмісних</w:t>
            </w:r>
            <w:proofErr w:type="spellEnd"/>
            <w:r w:rsidRPr="00F77180">
              <w:rPr>
                <w:rFonts w:ascii="Times New Roman" w:eastAsia="Times New Roman" w:hAnsi="Times New Roman" w:cs="Times New Roman"/>
                <w:bCs/>
                <w:spacing w:val="-7"/>
                <w:lang w:val="uk-UA" w:eastAsia="ru-RU"/>
              </w:rPr>
              <w:t xml:space="preserve"> еритроцитів;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кількість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середній об’єм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ширина розподілу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ширина розподілу тромбоцитів - SD стандартне відхилення;</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proofErr w:type="spellStart"/>
            <w:r w:rsidRPr="00F77180">
              <w:rPr>
                <w:rFonts w:ascii="Times New Roman" w:eastAsia="Times New Roman" w:hAnsi="Times New Roman" w:cs="Times New Roman"/>
                <w:bCs/>
                <w:spacing w:val="-7"/>
                <w:lang w:val="uk-UA" w:eastAsia="ru-RU"/>
              </w:rPr>
              <w:t>тромбокрит</w:t>
            </w:r>
            <w:proofErr w:type="spellEnd"/>
            <w:r w:rsidRPr="00F77180">
              <w:rPr>
                <w:rFonts w:ascii="Times New Roman" w:eastAsia="Times New Roman" w:hAnsi="Times New Roman" w:cs="Times New Roman"/>
                <w:bCs/>
                <w:spacing w:val="-7"/>
                <w:lang w:val="uk-UA" w:eastAsia="ru-RU"/>
              </w:rPr>
              <w:t>;</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відношення тромбоцитів до лімфоцитів;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відносна кількість великих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великих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абсолютна кількість </w:t>
            </w:r>
            <w:proofErr w:type="spellStart"/>
            <w:r w:rsidRPr="00F77180">
              <w:rPr>
                <w:rFonts w:ascii="Times New Roman" w:eastAsia="Times New Roman" w:hAnsi="Times New Roman" w:cs="Times New Roman"/>
                <w:bCs/>
                <w:spacing w:val="-7"/>
                <w:lang w:val="uk-UA" w:eastAsia="ru-RU"/>
              </w:rPr>
              <w:t>сукупчення</w:t>
            </w:r>
            <w:proofErr w:type="spellEnd"/>
            <w:r w:rsidRPr="00F77180">
              <w:rPr>
                <w:rFonts w:ascii="Times New Roman" w:eastAsia="Times New Roman" w:hAnsi="Times New Roman" w:cs="Times New Roman"/>
                <w:bCs/>
                <w:spacing w:val="-7"/>
                <w:lang w:val="uk-UA" w:eastAsia="ru-RU"/>
              </w:rPr>
              <w:t xml:space="preserve">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відсотковий вміст </w:t>
            </w:r>
            <w:proofErr w:type="spellStart"/>
            <w:r w:rsidRPr="00F77180">
              <w:rPr>
                <w:rFonts w:ascii="Times New Roman" w:eastAsia="Times New Roman" w:hAnsi="Times New Roman" w:cs="Times New Roman"/>
                <w:bCs/>
                <w:spacing w:val="-7"/>
                <w:lang w:val="uk-UA" w:eastAsia="ru-RU"/>
              </w:rPr>
              <w:t>сукупчення</w:t>
            </w:r>
            <w:proofErr w:type="spellEnd"/>
            <w:r w:rsidRPr="00F77180">
              <w:rPr>
                <w:rFonts w:ascii="Times New Roman" w:eastAsia="Times New Roman" w:hAnsi="Times New Roman" w:cs="Times New Roman"/>
                <w:bCs/>
                <w:spacing w:val="-7"/>
                <w:lang w:val="uk-UA" w:eastAsia="ru-RU"/>
              </w:rPr>
              <w:t xml:space="preserve"> тромбоцитів;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кількість еритроцитів;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концентрація гемоглобіну;</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середній корпускулярний об’єм еритроцитів;</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середній вміст гемоглобіну в еритроцитах;</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середня клітинна концентрація гемоглобіну в еритроцитах;</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ширина розподілу еритроцитів – CV коефіцієнт варіації;</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ширина розподілу еритроцитів – SD стандартне відхилення;</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lastRenderedPageBreak/>
              <w:t>показник гематокриту;</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абсолютна кількість </w:t>
            </w:r>
            <w:proofErr w:type="spellStart"/>
            <w:r w:rsidRPr="00F77180">
              <w:rPr>
                <w:rFonts w:ascii="Times New Roman" w:eastAsia="Times New Roman" w:hAnsi="Times New Roman" w:cs="Times New Roman"/>
                <w:bCs/>
                <w:spacing w:val="-7"/>
                <w:lang w:val="uk-UA" w:eastAsia="ru-RU"/>
              </w:rPr>
              <w:t>бластних</w:t>
            </w:r>
            <w:proofErr w:type="spellEnd"/>
            <w:r w:rsidRPr="00F77180">
              <w:rPr>
                <w:rFonts w:ascii="Times New Roman" w:eastAsia="Times New Roman" w:hAnsi="Times New Roman" w:cs="Times New Roman"/>
                <w:bCs/>
                <w:spacing w:val="-7"/>
                <w:lang w:val="uk-UA" w:eastAsia="ru-RU"/>
              </w:rPr>
              <w:t xml:space="preserve"> клітин;</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відсотковий вміст </w:t>
            </w:r>
            <w:proofErr w:type="spellStart"/>
            <w:r w:rsidRPr="00F77180">
              <w:rPr>
                <w:rFonts w:ascii="Times New Roman" w:eastAsia="Times New Roman" w:hAnsi="Times New Roman" w:cs="Times New Roman"/>
                <w:bCs/>
                <w:spacing w:val="-7"/>
                <w:lang w:val="uk-UA" w:eastAsia="ru-RU"/>
              </w:rPr>
              <w:t>бластних</w:t>
            </w:r>
            <w:proofErr w:type="spellEnd"/>
            <w:r w:rsidRPr="00F77180">
              <w:rPr>
                <w:rFonts w:ascii="Times New Roman" w:eastAsia="Times New Roman" w:hAnsi="Times New Roman" w:cs="Times New Roman"/>
                <w:bCs/>
                <w:spacing w:val="-7"/>
                <w:lang w:val="uk-UA" w:eastAsia="ru-RU"/>
              </w:rPr>
              <w:t xml:space="preserve"> клітин;</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абсолютна кількість ліпідних часток;</w:t>
            </w:r>
          </w:p>
          <w:p w:rsidR="00F77180" w:rsidRPr="00F77180" w:rsidRDefault="00F77180" w:rsidP="00F7718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відсотковий вміст ліпідних часток.</w:t>
            </w:r>
          </w:p>
        </w:tc>
        <w:tc>
          <w:tcPr>
            <w:tcW w:w="3245" w:type="dxa"/>
            <w:shd w:val="clear" w:color="auto" w:fill="auto"/>
          </w:tcPr>
          <w:p w:rsidR="00F77180" w:rsidRPr="00AF0CCF" w:rsidRDefault="00F77180" w:rsidP="00F77180">
            <w:pPr>
              <w:ind w:right="-365"/>
              <w:rPr>
                <w:bCs/>
              </w:rPr>
            </w:pPr>
            <w:r>
              <w:rPr>
                <w:bCs/>
                <w:spacing w:val="-7"/>
              </w:rPr>
              <w:lastRenderedPageBreak/>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lastRenderedPageBreak/>
              <w:t>7</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Диференціювання лейкоцитів на 5 популяцій: лімфоцити, </w:t>
            </w:r>
            <w:proofErr w:type="spellStart"/>
            <w:r w:rsidRPr="00F77180">
              <w:rPr>
                <w:rFonts w:ascii="Times New Roman" w:eastAsia="Times New Roman" w:hAnsi="Times New Roman" w:cs="Times New Roman"/>
                <w:bCs/>
                <w:spacing w:val="-7"/>
                <w:lang w:val="uk-UA" w:eastAsia="ru-RU"/>
              </w:rPr>
              <w:t>нейтрофіли</w:t>
            </w:r>
            <w:proofErr w:type="spellEnd"/>
            <w:r w:rsidRPr="00F77180">
              <w:rPr>
                <w:rFonts w:ascii="Times New Roman" w:eastAsia="Times New Roman" w:hAnsi="Times New Roman" w:cs="Times New Roman"/>
                <w:bCs/>
                <w:spacing w:val="-7"/>
                <w:lang w:val="uk-UA" w:eastAsia="ru-RU"/>
              </w:rPr>
              <w:t>,</w:t>
            </w:r>
            <w:r>
              <w:rPr>
                <w:rFonts w:ascii="Times New Roman" w:eastAsia="Times New Roman" w:hAnsi="Times New Roman" w:cs="Times New Roman"/>
                <w:bCs/>
                <w:spacing w:val="-7"/>
                <w:lang w:val="uk-UA" w:eastAsia="ru-RU"/>
              </w:rPr>
              <w:t xml:space="preserve"> моноцити, базофіли, еозинофіли</w:t>
            </w:r>
          </w:p>
        </w:tc>
        <w:tc>
          <w:tcPr>
            <w:tcW w:w="3245" w:type="dxa"/>
            <w:shd w:val="clear" w:color="auto" w:fill="auto"/>
          </w:tcPr>
          <w:p w:rsidR="00F77180" w:rsidRPr="00AF0CCF" w:rsidRDefault="00F77180" w:rsidP="00F77180">
            <w:pPr>
              <w:ind w:right="-365"/>
              <w:rPr>
                <w:bCs/>
                <w:spacing w:val="-7"/>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8</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Можливість побудови </w:t>
            </w:r>
            <w:proofErr w:type="spellStart"/>
            <w:r w:rsidRPr="00F77180">
              <w:rPr>
                <w:rFonts w:ascii="Times New Roman" w:eastAsia="Times New Roman" w:hAnsi="Times New Roman" w:cs="Times New Roman"/>
                <w:bCs/>
                <w:spacing w:val="-7"/>
                <w:lang w:val="uk-UA" w:eastAsia="ru-RU"/>
              </w:rPr>
              <w:t>скатерограм</w:t>
            </w:r>
            <w:proofErr w:type="spellEnd"/>
            <w:r w:rsidRPr="00F77180">
              <w:rPr>
                <w:rFonts w:ascii="Times New Roman" w:eastAsia="Times New Roman" w:hAnsi="Times New Roman" w:cs="Times New Roman"/>
                <w:bCs/>
                <w:spacing w:val="-7"/>
                <w:lang w:val="uk-UA" w:eastAsia="ru-RU"/>
              </w:rPr>
              <w:t xml:space="preserve"> </w:t>
            </w:r>
          </w:p>
        </w:tc>
        <w:tc>
          <w:tcPr>
            <w:tcW w:w="3245" w:type="dxa"/>
            <w:shd w:val="clear" w:color="auto" w:fill="auto"/>
          </w:tcPr>
          <w:p w:rsidR="00F77180" w:rsidRPr="00AF0CCF" w:rsidRDefault="00F77180" w:rsidP="00F77180">
            <w:pPr>
              <w:ind w:right="-365"/>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9</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Можливість побудови 3 гістограм розподілу: еритроцитів, тромбоцитів, лейкоцитів. </w:t>
            </w:r>
          </w:p>
        </w:tc>
        <w:tc>
          <w:tcPr>
            <w:tcW w:w="3245" w:type="dxa"/>
            <w:shd w:val="clear" w:color="auto" w:fill="auto"/>
          </w:tcPr>
          <w:p w:rsidR="00F77180" w:rsidRPr="00AF0CCF" w:rsidRDefault="00E969E0" w:rsidP="00F77180">
            <w:pPr>
              <w:ind w:right="33"/>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10</w:t>
            </w:r>
          </w:p>
        </w:tc>
        <w:tc>
          <w:tcPr>
            <w:tcW w:w="4541" w:type="dxa"/>
            <w:shd w:val="clear" w:color="auto" w:fill="auto"/>
          </w:tcPr>
          <w:p w:rsidR="00F77180" w:rsidRPr="00F77180" w:rsidRDefault="00F7718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Аналізатор повинен мати функ</w:t>
            </w:r>
            <w:r w:rsidR="00E969E0">
              <w:rPr>
                <w:rFonts w:ascii="Times New Roman" w:eastAsia="Times New Roman" w:hAnsi="Times New Roman" w:cs="Times New Roman"/>
                <w:bCs/>
                <w:spacing w:val="-7"/>
                <w:lang w:val="uk-UA" w:eastAsia="ru-RU"/>
              </w:rPr>
              <w:t>цію прапорів параметрів</w:t>
            </w:r>
          </w:p>
        </w:tc>
        <w:tc>
          <w:tcPr>
            <w:tcW w:w="3245" w:type="dxa"/>
            <w:shd w:val="clear" w:color="auto" w:fill="auto"/>
          </w:tcPr>
          <w:p w:rsidR="00E969E0" w:rsidRPr="00F77180" w:rsidRDefault="00E969E0" w:rsidP="00E969E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прапори референтного діапазону;</w:t>
            </w:r>
          </w:p>
          <w:p w:rsidR="00E969E0" w:rsidRPr="00F77180" w:rsidRDefault="00E969E0" w:rsidP="00E969E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прапори діапазону відображення;</w:t>
            </w:r>
          </w:p>
          <w:p w:rsidR="00E969E0" w:rsidRPr="00F77180" w:rsidRDefault="00E969E0" w:rsidP="00E969E0">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прапори патологічних показників </w:t>
            </w:r>
            <w:r>
              <w:rPr>
                <w:rFonts w:ascii="Times New Roman" w:eastAsia="Times New Roman" w:hAnsi="Times New Roman" w:cs="Times New Roman"/>
                <w:bCs/>
                <w:spacing w:val="-7"/>
                <w:lang w:val="uk-UA" w:eastAsia="ru-RU"/>
              </w:rPr>
              <w:t>диференціювання;</w:t>
            </w:r>
          </w:p>
          <w:p w:rsidR="00F77180" w:rsidRPr="00AF0CCF" w:rsidRDefault="00E969E0" w:rsidP="00E969E0">
            <w:pPr>
              <w:pStyle w:val="Default"/>
              <w:numPr>
                <w:ilvl w:val="0"/>
                <w:numId w:val="9"/>
              </w:numPr>
              <w:tabs>
                <w:tab w:val="left" w:pos="215"/>
              </w:tabs>
              <w:ind w:left="0" w:firstLine="0"/>
              <w:rPr>
                <w:bCs/>
                <w:spacing w:val="-7"/>
              </w:rPr>
            </w:pPr>
            <w:r w:rsidRPr="00F77180">
              <w:rPr>
                <w:rFonts w:ascii="Times New Roman" w:eastAsia="Times New Roman" w:hAnsi="Times New Roman" w:cs="Times New Roman"/>
                <w:bCs/>
                <w:spacing w:val="-7"/>
                <w:lang w:val="uk-UA" w:eastAsia="ru-RU"/>
              </w:rPr>
              <w:t>прапори патологічн</w:t>
            </w:r>
            <w:r>
              <w:rPr>
                <w:rFonts w:ascii="Times New Roman" w:eastAsia="Times New Roman" w:hAnsi="Times New Roman" w:cs="Times New Roman"/>
                <w:bCs/>
                <w:spacing w:val="-7"/>
                <w:lang w:val="uk-UA" w:eastAsia="ru-RU"/>
              </w:rPr>
              <w:t>их показників морфології клітин</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11</w:t>
            </w:r>
          </w:p>
        </w:tc>
        <w:tc>
          <w:tcPr>
            <w:tcW w:w="4541" w:type="dxa"/>
            <w:shd w:val="clear" w:color="auto" w:fill="auto"/>
          </w:tcPr>
          <w:p w:rsidR="00F77180" w:rsidRPr="00F77180" w:rsidRDefault="00F7718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Відтворюваність вимірюваних основних параметрів (CV</w:t>
            </w:r>
            <w:r w:rsidR="00E969E0">
              <w:rPr>
                <w:rFonts w:ascii="Times New Roman" w:eastAsia="Times New Roman" w:hAnsi="Times New Roman" w:cs="Times New Roman"/>
                <w:bCs/>
                <w:spacing w:val="-7"/>
                <w:lang w:val="uk-UA" w:eastAsia="ru-RU"/>
              </w:rPr>
              <w:t>)</w:t>
            </w:r>
          </w:p>
        </w:tc>
        <w:tc>
          <w:tcPr>
            <w:tcW w:w="3245" w:type="dxa"/>
            <w:shd w:val="clear" w:color="auto" w:fill="auto"/>
          </w:tcPr>
          <w:p w:rsidR="00F77180" w:rsidRPr="00AF0CCF" w:rsidRDefault="00E969E0" w:rsidP="00E969E0">
            <w:pPr>
              <w:ind w:right="33"/>
              <w:rPr>
                <w:bCs/>
                <w:spacing w:val="-7"/>
              </w:rPr>
            </w:pPr>
            <w:r w:rsidRPr="00F77180">
              <w:rPr>
                <w:bCs/>
                <w:spacing w:val="-7"/>
              </w:rPr>
              <w:t>лейкоцити не більше 2,0%, еритроцити не більше 1,5%, тромбоцити не більше 4,0%, гемоглобін не більше 1,5%.</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12</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Діапазон </w:t>
            </w:r>
            <w:r w:rsidR="00E969E0">
              <w:rPr>
                <w:rFonts w:ascii="Times New Roman" w:eastAsia="Times New Roman" w:hAnsi="Times New Roman" w:cs="Times New Roman"/>
                <w:bCs/>
                <w:spacing w:val="-7"/>
                <w:lang w:val="uk-UA" w:eastAsia="ru-RU"/>
              </w:rPr>
              <w:t>лінійності не гірше</w:t>
            </w:r>
          </w:p>
        </w:tc>
        <w:tc>
          <w:tcPr>
            <w:tcW w:w="3245" w:type="dxa"/>
            <w:shd w:val="clear" w:color="auto" w:fill="auto"/>
          </w:tcPr>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WBC 0,00 – 500 x 109/л</w:t>
            </w:r>
          </w:p>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RBC 0,00 – 8,0 x 1012/л </w:t>
            </w:r>
          </w:p>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HGB 0 – 250 г/л</w:t>
            </w:r>
          </w:p>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PLT 0 – 5000 x 109/л</w:t>
            </w:r>
          </w:p>
          <w:p w:rsidR="00F77180" w:rsidRPr="00AF0CCF" w:rsidRDefault="00E969E0" w:rsidP="00E969E0">
            <w:pPr>
              <w:ind w:right="-365"/>
              <w:rPr>
                <w:bCs/>
                <w:spacing w:val="-7"/>
              </w:rPr>
            </w:pPr>
            <w:r w:rsidRPr="00F77180">
              <w:rPr>
                <w:bCs/>
                <w:spacing w:val="-7"/>
              </w:rPr>
              <w:t>HTC 0-67%</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jc w:val="both"/>
            </w:pPr>
            <w:r>
              <w:t>13</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Можливість автоматичного та р</w:t>
            </w:r>
            <w:r w:rsidR="00E969E0">
              <w:rPr>
                <w:rFonts w:ascii="Times New Roman" w:eastAsia="Times New Roman" w:hAnsi="Times New Roman" w:cs="Times New Roman"/>
                <w:bCs/>
                <w:spacing w:val="-7"/>
                <w:lang w:val="uk-UA" w:eastAsia="ru-RU"/>
              </w:rPr>
              <w:t>учного калібрування аналізатора</w:t>
            </w:r>
          </w:p>
        </w:tc>
        <w:tc>
          <w:tcPr>
            <w:tcW w:w="3245" w:type="dxa"/>
            <w:shd w:val="clear" w:color="auto" w:fill="auto"/>
          </w:tcPr>
          <w:p w:rsidR="00F77180" w:rsidRPr="00AF0CCF" w:rsidRDefault="00E969E0" w:rsidP="00F77180">
            <w:pPr>
              <w:ind w:right="-365"/>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14</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В</w:t>
            </w:r>
            <w:r w:rsidR="00F77180" w:rsidRPr="00F77180">
              <w:rPr>
                <w:rFonts w:ascii="Times New Roman" w:eastAsia="Times New Roman" w:hAnsi="Times New Roman" w:cs="Times New Roman"/>
                <w:bCs/>
                <w:spacing w:val="-7"/>
                <w:lang w:val="uk-UA" w:eastAsia="ru-RU"/>
              </w:rPr>
              <w:t>будован</w:t>
            </w: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 xml:space="preserve"> програм</w:t>
            </w: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 xml:space="preserve"> контролю якості, автоматичне обрахування відхилень, </w:t>
            </w:r>
            <w:r>
              <w:rPr>
                <w:rFonts w:ascii="Times New Roman" w:eastAsia="Times New Roman" w:hAnsi="Times New Roman" w:cs="Times New Roman"/>
                <w:bCs/>
                <w:spacing w:val="-7"/>
                <w:lang w:val="uk-UA" w:eastAsia="ru-RU"/>
              </w:rPr>
              <w:t xml:space="preserve">графік </w:t>
            </w:r>
            <w:proofErr w:type="spellStart"/>
            <w:r>
              <w:rPr>
                <w:rFonts w:ascii="Times New Roman" w:eastAsia="Times New Roman" w:hAnsi="Times New Roman" w:cs="Times New Roman"/>
                <w:bCs/>
                <w:spacing w:val="-7"/>
                <w:lang w:val="uk-UA" w:eastAsia="ru-RU"/>
              </w:rPr>
              <w:t>Леві-Дженінса</w:t>
            </w:r>
            <w:proofErr w:type="spellEnd"/>
            <w:r>
              <w:rPr>
                <w:rFonts w:ascii="Times New Roman" w:eastAsia="Times New Roman" w:hAnsi="Times New Roman" w:cs="Times New Roman"/>
                <w:bCs/>
                <w:spacing w:val="-7"/>
                <w:lang w:val="uk-UA" w:eastAsia="ru-RU"/>
              </w:rPr>
              <w:t>, метод Х-В</w:t>
            </w:r>
          </w:p>
        </w:tc>
        <w:tc>
          <w:tcPr>
            <w:tcW w:w="3245" w:type="dxa"/>
            <w:shd w:val="clear" w:color="auto" w:fill="auto"/>
          </w:tcPr>
          <w:p w:rsidR="00F77180" w:rsidRPr="00AF0CCF" w:rsidRDefault="00E969E0" w:rsidP="00F77180">
            <w:pPr>
              <w:ind w:right="-365"/>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15</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Ф</w:t>
            </w:r>
            <w:r w:rsidR="00F77180" w:rsidRPr="00F77180">
              <w:rPr>
                <w:rFonts w:ascii="Times New Roman" w:eastAsia="Times New Roman" w:hAnsi="Times New Roman" w:cs="Times New Roman"/>
                <w:bCs/>
                <w:spacing w:val="-7"/>
                <w:lang w:val="uk-UA" w:eastAsia="ru-RU"/>
              </w:rPr>
              <w:t>ункці</w:t>
            </w:r>
            <w:r>
              <w:rPr>
                <w:rFonts w:ascii="Times New Roman" w:eastAsia="Times New Roman" w:hAnsi="Times New Roman" w:cs="Times New Roman"/>
                <w:bCs/>
                <w:spacing w:val="-7"/>
                <w:lang w:val="uk-UA" w:eastAsia="ru-RU"/>
              </w:rPr>
              <w:t>я «</w:t>
            </w:r>
            <w:proofErr w:type="spellStart"/>
            <w:r>
              <w:rPr>
                <w:rFonts w:ascii="Times New Roman" w:eastAsia="Times New Roman" w:hAnsi="Times New Roman" w:cs="Times New Roman"/>
                <w:bCs/>
                <w:spacing w:val="-7"/>
                <w:lang w:val="uk-UA" w:eastAsia="ru-RU"/>
              </w:rPr>
              <w:t>автопромивки</w:t>
            </w:r>
            <w:proofErr w:type="spellEnd"/>
            <w:r>
              <w:rPr>
                <w:rFonts w:ascii="Times New Roman" w:eastAsia="Times New Roman" w:hAnsi="Times New Roman" w:cs="Times New Roman"/>
                <w:bCs/>
                <w:spacing w:val="-7"/>
                <w:lang w:val="uk-UA" w:eastAsia="ru-RU"/>
              </w:rPr>
              <w:t>» аналізатора</w:t>
            </w:r>
          </w:p>
        </w:tc>
        <w:tc>
          <w:tcPr>
            <w:tcW w:w="3245" w:type="dxa"/>
            <w:shd w:val="clear" w:color="auto" w:fill="auto"/>
          </w:tcPr>
          <w:p w:rsidR="00F77180" w:rsidRPr="00AF0CCF" w:rsidRDefault="00E969E0" w:rsidP="00F77180">
            <w:pPr>
              <w:ind w:right="-365"/>
              <w:rPr>
                <w:bCs/>
              </w:rPr>
            </w:pPr>
            <w:r>
              <w:rPr>
                <w:bCs/>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16</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С</w:t>
            </w:r>
            <w:r w:rsidR="00F77180" w:rsidRPr="00F77180">
              <w:rPr>
                <w:rFonts w:ascii="Times New Roman" w:eastAsia="Times New Roman" w:hAnsi="Times New Roman" w:cs="Times New Roman"/>
                <w:bCs/>
                <w:spacing w:val="-7"/>
                <w:lang w:val="uk-UA" w:eastAsia="ru-RU"/>
              </w:rPr>
              <w:t>амоконтрол</w:t>
            </w:r>
            <w:r>
              <w:rPr>
                <w:rFonts w:ascii="Times New Roman" w:eastAsia="Times New Roman" w:hAnsi="Times New Roman" w:cs="Times New Roman"/>
                <w:bCs/>
                <w:spacing w:val="-7"/>
                <w:lang w:val="uk-UA" w:eastAsia="ru-RU"/>
              </w:rPr>
              <w:t>ь</w:t>
            </w:r>
            <w:r w:rsidR="00F77180" w:rsidRPr="00F77180">
              <w:rPr>
                <w:rFonts w:ascii="Times New Roman" w:eastAsia="Times New Roman" w:hAnsi="Times New Roman" w:cs="Times New Roman"/>
                <w:bCs/>
                <w:spacing w:val="-7"/>
                <w:lang w:val="uk-UA" w:eastAsia="ru-RU"/>
              </w:rPr>
              <w:t xml:space="preserve"> робочих вузлів системи з </w:t>
            </w:r>
            <w:r>
              <w:rPr>
                <w:rFonts w:ascii="Times New Roman" w:eastAsia="Times New Roman" w:hAnsi="Times New Roman" w:cs="Times New Roman"/>
                <w:bCs/>
                <w:spacing w:val="-7"/>
                <w:lang w:val="uk-UA" w:eastAsia="ru-RU"/>
              </w:rPr>
              <w:t>виведенням повідомлень на екран</w:t>
            </w:r>
          </w:p>
        </w:tc>
        <w:tc>
          <w:tcPr>
            <w:tcW w:w="3245" w:type="dxa"/>
            <w:shd w:val="clear" w:color="auto" w:fill="auto"/>
          </w:tcPr>
          <w:p w:rsidR="00F77180" w:rsidRPr="00AF0CCF" w:rsidRDefault="00E969E0" w:rsidP="00F77180">
            <w:pPr>
              <w:ind w:right="-365"/>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17</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Аналізатор повинен бути розрахований на підключення до мережі 220В / 50 </w:t>
            </w:r>
            <w:proofErr w:type="spellStart"/>
            <w:r w:rsidRPr="00F77180">
              <w:rPr>
                <w:rFonts w:ascii="Times New Roman" w:eastAsia="Times New Roman" w:hAnsi="Times New Roman" w:cs="Times New Roman"/>
                <w:bCs/>
                <w:spacing w:val="-7"/>
                <w:lang w:val="uk-UA" w:eastAsia="ru-RU"/>
              </w:rPr>
              <w:t>Гц</w:t>
            </w:r>
            <w:proofErr w:type="spellEnd"/>
            <w:r w:rsidRPr="00F77180">
              <w:rPr>
                <w:rFonts w:ascii="Times New Roman" w:eastAsia="Times New Roman" w:hAnsi="Times New Roman" w:cs="Times New Roman"/>
                <w:bCs/>
                <w:spacing w:val="-7"/>
                <w:lang w:val="uk-UA" w:eastAsia="ru-RU"/>
              </w:rPr>
              <w:t>.</w:t>
            </w:r>
          </w:p>
        </w:tc>
        <w:tc>
          <w:tcPr>
            <w:tcW w:w="3245" w:type="dxa"/>
            <w:shd w:val="clear" w:color="auto" w:fill="auto"/>
          </w:tcPr>
          <w:p w:rsidR="00F77180" w:rsidRPr="00AF0CCF" w:rsidRDefault="00E969E0" w:rsidP="00F77180">
            <w:pPr>
              <w:ind w:right="-365"/>
              <w:rPr>
                <w:bCs/>
                <w:spacing w:val="-7"/>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18</w:t>
            </w:r>
          </w:p>
        </w:tc>
        <w:tc>
          <w:tcPr>
            <w:tcW w:w="4541" w:type="dxa"/>
            <w:shd w:val="clear" w:color="auto" w:fill="auto"/>
          </w:tcPr>
          <w:p w:rsidR="00F77180" w:rsidRPr="00F77180" w:rsidRDefault="00E969E0" w:rsidP="00F7718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Умови експлуатації не гірше</w:t>
            </w:r>
          </w:p>
        </w:tc>
        <w:tc>
          <w:tcPr>
            <w:tcW w:w="3245" w:type="dxa"/>
            <w:shd w:val="clear" w:color="auto" w:fill="auto"/>
          </w:tcPr>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оптимальна робоча температура</w:t>
            </w:r>
            <w:r>
              <w:rPr>
                <w:rFonts w:ascii="Times New Roman" w:eastAsia="Times New Roman" w:hAnsi="Times New Roman" w:cs="Times New Roman"/>
                <w:bCs/>
                <w:spacing w:val="-7"/>
                <w:lang w:val="uk-UA" w:eastAsia="ru-RU"/>
              </w:rPr>
              <w:t xml:space="preserve">: </w:t>
            </w:r>
            <w:r w:rsidRPr="00F77180">
              <w:rPr>
                <w:rFonts w:ascii="Times New Roman" w:eastAsia="Times New Roman" w:hAnsi="Times New Roman" w:cs="Times New Roman"/>
                <w:bCs/>
                <w:spacing w:val="-7"/>
                <w:lang w:val="uk-UA" w:eastAsia="ru-RU"/>
              </w:rPr>
              <w:t>від 10⁰С до 30⁰С</w:t>
            </w:r>
          </w:p>
          <w:p w:rsidR="00E969E0" w:rsidRPr="00F77180" w:rsidRDefault="00E969E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відносна вологість: від 20% до 85%</w:t>
            </w:r>
          </w:p>
          <w:p w:rsidR="00F77180" w:rsidRPr="00AF0CCF" w:rsidRDefault="00E969E0" w:rsidP="00E969E0">
            <w:pPr>
              <w:ind w:right="-365"/>
              <w:rPr>
                <w:bCs/>
              </w:rPr>
            </w:pPr>
            <w:r w:rsidRPr="00F77180">
              <w:rPr>
                <w:bCs/>
                <w:spacing w:val="-7"/>
              </w:rPr>
              <w:t xml:space="preserve">атмосферний тиск: від 70 </w:t>
            </w:r>
            <w:r>
              <w:rPr>
                <w:bCs/>
                <w:spacing w:val="-7"/>
              </w:rPr>
              <w:t>до</w:t>
            </w:r>
            <w:r w:rsidRPr="00F77180">
              <w:rPr>
                <w:bCs/>
                <w:spacing w:val="-7"/>
              </w:rPr>
              <w:t xml:space="preserve"> 106 кПа.</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19</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Пам’ять аналізатора повинна бути розрахована на зберігання не менше 40 000 результатів аналізів з</w:t>
            </w:r>
            <w:r w:rsidR="00E969E0">
              <w:rPr>
                <w:rFonts w:ascii="Times New Roman" w:eastAsia="Times New Roman" w:hAnsi="Times New Roman" w:cs="Times New Roman"/>
                <w:bCs/>
                <w:spacing w:val="-7"/>
                <w:lang w:val="uk-UA" w:eastAsia="ru-RU"/>
              </w:rPr>
              <w:t xml:space="preserve"> гістограмами та </w:t>
            </w:r>
            <w:proofErr w:type="spellStart"/>
            <w:r w:rsidR="00E969E0">
              <w:rPr>
                <w:rFonts w:ascii="Times New Roman" w:eastAsia="Times New Roman" w:hAnsi="Times New Roman" w:cs="Times New Roman"/>
                <w:bCs/>
                <w:spacing w:val="-7"/>
                <w:lang w:val="uk-UA" w:eastAsia="ru-RU"/>
              </w:rPr>
              <w:t>скатерограмами</w:t>
            </w:r>
            <w:proofErr w:type="spellEnd"/>
          </w:p>
        </w:tc>
        <w:tc>
          <w:tcPr>
            <w:tcW w:w="3245" w:type="dxa"/>
            <w:shd w:val="clear" w:color="auto" w:fill="auto"/>
          </w:tcPr>
          <w:p w:rsidR="00F77180" w:rsidRPr="00AF0CCF" w:rsidRDefault="00E969E0" w:rsidP="00F77180">
            <w:pPr>
              <w:ind w:right="-365"/>
              <w:rPr>
                <w:bCs/>
                <w:spacing w:val="-7"/>
              </w:rPr>
            </w:pPr>
            <w:r>
              <w:rPr>
                <w:bCs/>
                <w:spacing w:val="-7"/>
              </w:rPr>
              <w:t>відповідність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20</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втономн</w:t>
            </w: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 xml:space="preserve"> систем</w:t>
            </w: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 xml:space="preserve"> роботи аналізатора, яка не потребує додаткового пі</w:t>
            </w:r>
            <w:r>
              <w:rPr>
                <w:rFonts w:ascii="Times New Roman" w:eastAsia="Times New Roman" w:hAnsi="Times New Roman" w:cs="Times New Roman"/>
                <w:bCs/>
                <w:spacing w:val="-7"/>
                <w:lang w:val="uk-UA" w:eastAsia="ru-RU"/>
              </w:rPr>
              <w:t>дключення комп’ютерної станції</w:t>
            </w:r>
          </w:p>
        </w:tc>
        <w:tc>
          <w:tcPr>
            <w:tcW w:w="3245" w:type="dxa"/>
            <w:shd w:val="clear" w:color="auto" w:fill="auto"/>
          </w:tcPr>
          <w:p w:rsidR="00F77180" w:rsidRPr="00AF0CCF" w:rsidRDefault="00E969E0" w:rsidP="00F77180">
            <w:pPr>
              <w:ind w:right="-365"/>
              <w:rPr>
                <w:bCs/>
                <w:spacing w:val="-7"/>
              </w:rPr>
            </w:pPr>
            <w:r>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21</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С</w:t>
            </w:r>
            <w:r w:rsidR="00F77180" w:rsidRPr="00F77180">
              <w:rPr>
                <w:rFonts w:ascii="Times New Roman" w:eastAsia="Times New Roman" w:hAnsi="Times New Roman" w:cs="Times New Roman"/>
                <w:bCs/>
                <w:spacing w:val="-7"/>
                <w:lang w:val="uk-UA" w:eastAsia="ru-RU"/>
              </w:rPr>
              <w:t>енсорн</w:t>
            </w:r>
            <w:r>
              <w:rPr>
                <w:rFonts w:ascii="Times New Roman" w:eastAsia="Times New Roman" w:hAnsi="Times New Roman" w:cs="Times New Roman"/>
                <w:bCs/>
                <w:spacing w:val="-7"/>
                <w:lang w:val="uk-UA" w:eastAsia="ru-RU"/>
              </w:rPr>
              <w:t>ий</w:t>
            </w:r>
            <w:r w:rsidR="00F77180" w:rsidRPr="00F77180">
              <w:rPr>
                <w:rFonts w:ascii="Times New Roman" w:eastAsia="Times New Roman" w:hAnsi="Times New Roman" w:cs="Times New Roman"/>
                <w:bCs/>
                <w:spacing w:val="-7"/>
                <w:lang w:val="uk-UA" w:eastAsia="ru-RU"/>
              </w:rPr>
              <w:t xml:space="preserve"> диспле</w:t>
            </w:r>
            <w:r>
              <w:rPr>
                <w:rFonts w:ascii="Times New Roman" w:eastAsia="Times New Roman" w:hAnsi="Times New Roman" w:cs="Times New Roman"/>
                <w:bCs/>
                <w:spacing w:val="-7"/>
                <w:lang w:val="uk-UA" w:eastAsia="ru-RU"/>
              </w:rPr>
              <w:t>й</w:t>
            </w:r>
          </w:p>
        </w:tc>
        <w:tc>
          <w:tcPr>
            <w:tcW w:w="3245" w:type="dxa"/>
            <w:shd w:val="clear" w:color="auto" w:fill="auto"/>
          </w:tcPr>
          <w:p w:rsidR="00F77180" w:rsidRPr="00AF0CCF" w:rsidRDefault="00E969E0" w:rsidP="00F77180">
            <w:pPr>
              <w:ind w:right="-365"/>
              <w:rPr>
                <w:bCs/>
              </w:rPr>
            </w:pPr>
            <w:r w:rsidRPr="00F77180">
              <w:rPr>
                <w:bCs/>
                <w:spacing w:val="-7"/>
              </w:rPr>
              <w:t>не менше 10 дюймів</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22</w:t>
            </w:r>
          </w:p>
        </w:tc>
        <w:tc>
          <w:tcPr>
            <w:tcW w:w="4541" w:type="dxa"/>
            <w:shd w:val="clear" w:color="auto" w:fill="auto"/>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А</w:t>
            </w:r>
            <w:r w:rsidR="00F77180" w:rsidRPr="00F77180">
              <w:rPr>
                <w:rFonts w:ascii="Times New Roman" w:eastAsia="Times New Roman" w:hAnsi="Times New Roman" w:cs="Times New Roman"/>
                <w:bCs/>
                <w:spacing w:val="-7"/>
                <w:lang w:val="uk-UA" w:eastAsia="ru-RU"/>
              </w:rPr>
              <w:t>нгломовн</w:t>
            </w:r>
            <w:r>
              <w:rPr>
                <w:rFonts w:ascii="Times New Roman" w:eastAsia="Times New Roman" w:hAnsi="Times New Roman" w:cs="Times New Roman"/>
                <w:bCs/>
                <w:spacing w:val="-7"/>
                <w:lang w:val="uk-UA" w:eastAsia="ru-RU"/>
              </w:rPr>
              <w:t>е</w:t>
            </w:r>
            <w:r w:rsidR="00F77180" w:rsidRPr="00F77180">
              <w:rPr>
                <w:rFonts w:ascii="Times New Roman" w:eastAsia="Times New Roman" w:hAnsi="Times New Roman" w:cs="Times New Roman"/>
                <w:bCs/>
                <w:spacing w:val="-7"/>
                <w:lang w:val="uk-UA" w:eastAsia="ru-RU"/>
              </w:rPr>
              <w:t xml:space="preserve"> або україномовн</w:t>
            </w:r>
            <w:r>
              <w:rPr>
                <w:rFonts w:ascii="Times New Roman" w:eastAsia="Times New Roman" w:hAnsi="Times New Roman" w:cs="Times New Roman"/>
                <w:bCs/>
                <w:spacing w:val="-7"/>
                <w:lang w:val="uk-UA" w:eastAsia="ru-RU"/>
              </w:rPr>
              <w:t>е</w:t>
            </w:r>
            <w:r w:rsidR="00F77180" w:rsidRPr="00F77180">
              <w:rPr>
                <w:rFonts w:ascii="Times New Roman" w:eastAsia="Times New Roman" w:hAnsi="Times New Roman" w:cs="Times New Roman"/>
                <w:bCs/>
                <w:spacing w:val="-7"/>
                <w:lang w:val="uk-UA" w:eastAsia="ru-RU"/>
              </w:rPr>
              <w:t xml:space="preserve"> програмн</w:t>
            </w:r>
            <w:r>
              <w:rPr>
                <w:rFonts w:ascii="Times New Roman" w:eastAsia="Times New Roman" w:hAnsi="Times New Roman" w:cs="Times New Roman"/>
                <w:bCs/>
                <w:spacing w:val="-7"/>
                <w:lang w:val="uk-UA" w:eastAsia="ru-RU"/>
              </w:rPr>
              <w:t>е</w:t>
            </w:r>
            <w:r w:rsidR="00F77180" w:rsidRPr="00F77180">
              <w:rPr>
                <w:rFonts w:ascii="Times New Roman" w:eastAsia="Times New Roman" w:hAnsi="Times New Roman" w:cs="Times New Roman"/>
                <w:bCs/>
                <w:spacing w:val="-7"/>
                <w:lang w:val="uk-UA" w:eastAsia="ru-RU"/>
              </w:rPr>
              <w:t xml:space="preserve"> забезпечення </w:t>
            </w:r>
          </w:p>
        </w:tc>
        <w:tc>
          <w:tcPr>
            <w:tcW w:w="3245" w:type="dxa"/>
            <w:shd w:val="clear" w:color="auto" w:fill="auto"/>
          </w:tcPr>
          <w:p w:rsidR="00F77180" w:rsidRPr="00AF0CCF" w:rsidRDefault="00E969E0" w:rsidP="00F77180">
            <w:pPr>
              <w:ind w:right="-365"/>
              <w:rPr>
                <w:bCs/>
                <w:spacing w:val="-7"/>
              </w:rPr>
            </w:pPr>
            <w:r w:rsidRPr="00F77180">
              <w:rPr>
                <w:bCs/>
                <w:spacing w:val="-7"/>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23</w:t>
            </w:r>
          </w:p>
        </w:tc>
        <w:tc>
          <w:tcPr>
            <w:tcW w:w="4541" w:type="dxa"/>
            <w:shd w:val="clear" w:color="auto" w:fill="auto"/>
          </w:tcPr>
          <w:p w:rsidR="00F77180" w:rsidRPr="00F77180" w:rsidRDefault="00F7718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4 USB</w:t>
            </w:r>
            <w:r w:rsidR="00E969E0">
              <w:rPr>
                <w:rFonts w:ascii="Times New Roman" w:eastAsia="Times New Roman" w:hAnsi="Times New Roman" w:cs="Times New Roman"/>
                <w:bCs/>
                <w:spacing w:val="-7"/>
                <w:lang w:val="uk-UA" w:eastAsia="ru-RU"/>
              </w:rPr>
              <w:t>-</w:t>
            </w:r>
            <w:proofErr w:type="spellStart"/>
            <w:r w:rsidR="00E969E0">
              <w:rPr>
                <w:rFonts w:ascii="Times New Roman" w:eastAsia="Times New Roman" w:hAnsi="Times New Roman" w:cs="Times New Roman"/>
                <w:bCs/>
                <w:spacing w:val="-7"/>
                <w:lang w:val="uk-UA" w:eastAsia="ru-RU"/>
              </w:rPr>
              <w:t>порта</w:t>
            </w:r>
            <w:proofErr w:type="spellEnd"/>
          </w:p>
        </w:tc>
        <w:tc>
          <w:tcPr>
            <w:tcW w:w="3245" w:type="dxa"/>
            <w:shd w:val="clear" w:color="auto" w:fill="auto"/>
          </w:tcPr>
          <w:p w:rsidR="00F77180" w:rsidRPr="00AF0CCF" w:rsidRDefault="00E969E0" w:rsidP="00F77180">
            <w:pPr>
              <w:ind w:right="-365"/>
              <w:rPr>
                <w:bCs/>
                <w:spacing w:val="-7"/>
              </w:rPr>
            </w:pPr>
            <w:r>
              <w:rPr>
                <w:bCs/>
                <w:spacing w:val="-7"/>
              </w:rPr>
              <w:t>н</w:t>
            </w:r>
            <w:r w:rsidRPr="00F77180">
              <w:rPr>
                <w:bCs/>
                <w:spacing w:val="-7"/>
              </w:rPr>
              <w:t>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24</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Можливість підключення: миші, клавіатури, принтера, зчитувача штрих-кодів, USB-накопичувача та ін.</w:t>
            </w:r>
          </w:p>
        </w:tc>
        <w:tc>
          <w:tcPr>
            <w:tcW w:w="3245" w:type="dxa"/>
            <w:shd w:val="clear" w:color="auto" w:fill="auto"/>
          </w:tcPr>
          <w:p w:rsidR="00F77180" w:rsidRPr="00AF0CCF" w:rsidRDefault="00E969E0" w:rsidP="00F77180">
            <w:pPr>
              <w:ind w:right="-365"/>
              <w:rPr>
                <w:bCs/>
              </w:rPr>
            </w:pPr>
            <w:r>
              <w:rPr>
                <w:bCs/>
              </w:rPr>
              <w:t>наявність</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t>25</w:t>
            </w:r>
          </w:p>
        </w:tc>
        <w:tc>
          <w:tcPr>
            <w:tcW w:w="4541" w:type="dxa"/>
            <w:shd w:val="clear" w:color="auto" w:fill="auto"/>
          </w:tcPr>
          <w:p w:rsidR="00F77180" w:rsidRPr="00F77180" w:rsidRDefault="00F77180" w:rsidP="00F7718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Система повинна використовувати 3 робочі реагенти: Розріджувач та 2 </w:t>
            </w:r>
            <w:proofErr w:type="spellStart"/>
            <w:r w:rsidRPr="00F77180">
              <w:rPr>
                <w:rFonts w:ascii="Times New Roman" w:eastAsia="Times New Roman" w:hAnsi="Times New Roman" w:cs="Times New Roman"/>
                <w:bCs/>
                <w:spacing w:val="-7"/>
                <w:lang w:val="uk-UA" w:eastAsia="ru-RU"/>
              </w:rPr>
              <w:t>Лізуючих</w:t>
            </w:r>
            <w:proofErr w:type="spellEnd"/>
            <w:r w:rsidRPr="00F77180">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реагента</w:t>
            </w:r>
            <w:proofErr w:type="spellEnd"/>
            <w:r w:rsidRPr="00F77180">
              <w:rPr>
                <w:rFonts w:ascii="Times New Roman" w:eastAsia="Times New Roman" w:hAnsi="Times New Roman" w:cs="Times New Roman"/>
                <w:bCs/>
                <w:spacing w:val="-7"/>
                <w:lang w:val="uk-UA" w:eastAsia="ru-RU"/>
              </w:rPr>
              <w:t>.</w:t>
            </w:r>
          </w:p>
        </w:tc>
        <w:tc>
          <w:tcPr>
            <w:tcW w:w="3245" w:type="dxa"/>
            <w:shd w:val="clear" w:color="auto" w:fill="auto"/>
          </w:tcPr>
          <w:p w:rsidR="00F77180" w:rsidRPr="00AF0CCF" w:rsidRDefault="00E969E0" w:rsidP="00F77180">
            <w:pPr>
              <w:ind w:right="-365"/>
              <w:rPr>
                <w:bCs/>
              </w:rPr>
            </w:pPr>
            <w:r>
              <w:rPr>
                <w:bCs/>
                <w:spacing w:val="-7"/>
              </w:rPr>
              <w:t>відповідність</w:t>
            </w:r>
          </w:p>
        </w:tc>
        <w:tc>
          <w:tcPr>
            <w:tcW w:w="1416" w:type="dxa"/>
          </w:tcPr>
          <w:p w:rsidR="00F77180" w:rsidRPr="005A6C1E" w:rsidRDefault="00F77180" w:rsidP="00F77180"/>
        </w:tc>
      </w:tr>
      <w:tr w:rsidR="00F77180" w:rsidRPr="005A6C1E" w:rsidTr="007A5156">
        <w:tc>
          <w:tcPr>
            <w:tcW w:w="466" w:type="dxa"/>
            <w:shd w:val="clear" w:color="auto" w:fill="auto"/>
            <w:vAlign w:val="center"/>
          </w:tcPr>
          <w:p w:rsidR="00F77180" w:rsidRPr="005A6C1E" w:rsidRDefault="00F77180" w:rsidP="00F77180">
            <w:pPr>
              <w:tabs>
                <w:tab w:val="left" w:pos="34"/>
              </w:tabs>
            </w:pPr>
            <w:r>
              <w:t>26</w:t>
            </w:r>
          </w:p>
        </w:tc>
        <w:tc>
          <w:tcPr>
            <w:tcW w:w="4541" w:type="dxa"/>
            <w:shd w:val="clear" w:color="auto" w:fill="auto"/>
            <w:vAlign w:val="center"/>
          </w:tcPr>
          <w:p w:rsidR="00F77180" w:rsidRPr="00F77180" w:rsidRDefault="00F7718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Сертифікат</w:t>
            </w:r>
            <w:r w:rsidR="00E969E0">
              <w:rPr>
                <w:rFonts w:ascii="Times New Roman" w:eastAsia="Times New Roman" w:hAnsi="Times New Roman" w:cs="Times New Roman"/>
                <w:bCs/>
                <w:spacing w:val="-7"/>
                <w:lang w:val="uk-UA" w:eastAsia="ru-RU"/>
              </w:rPr>
              <w:t xml:space="preserve"> ISO 13485</w:t>
            </w:r>
          </w:p>
        </w:tc>
        <w:tc>
          <w:tcPr>
            <w:tcW w:w="3245" w:type="dxa"/>
            <w:shd w:val="clear" w:color="auto" w:fill="auto"/>
          </w:tcPr>
          <w:p w:rsidR="00F77180" w:rsidRPr="00AF0CCF" w:rsidRDefault="00E969E0" w:rsidP="00F77180">
            <w:pPr>
              <w:ind w:right="-365"/>
              <w:rPr>
                <w:bCs/>
              </w:rPr>
            </w:pPr>
            <w:r>
              <w:rPr>
                <w:bCs/>
                <w:spacing w:val="-7"/>
              </w:rPr>
              <w:t>н</w:t>
            </w:r>
            <w:r w:rsidRPr="00F77180">
              <w:rPr>
                <w:bCs/>
                <w:spacing w:val="-7"/>
              </w:rPr>
              <w:t>аявність</w:t>
            </w:r>
            <w:r>
              <w:rPr>
                <w:bCs/>
                <w:spacing w:val="-7"/>
              </w:rPr>
              <w:t>, надати копію</w:t>
            </w:r>
          </w:p>
        </w:tc>
        <w:tc>
          <w:tcPr>
            <w:tcW w:w="1416" w:type="dxa"/>
          </w:tcPr>
          <w:p w:rsidR="00F77180" w:rsidRPr="005A6C1E" w:rsidRDefault="00F77180" w:rsidP="00F77180"/>
        </w:tc>
      </w:tr>
      <w:tr w:rsidR="00F77180" w:rsidRPr="005A6C1E" w:rsidTr="007A5156">
        <w:tc>
          <w:tcPr>
            <w:tcW w:w="466" w:type="dxa"/>
            <w:shd w:val="clear" w:color="auto" w:fill="auto"/>
            <w:vAlign w:val="center"/>
          </w:tcPr>
          <w:p w:rsidR="00F77180" w:rsidRPr="005A6C1E" w:rsidRDefault="00F77180" w:rsidP="00F77180">
            <w:pPr>
              <w:tabs>
                <w:tab w:val="left" w:pos="34"/>
              </w:tabs>
            </w:pPr>
            <w:r>
              <w:t>27</w:t>
            </w:r>
          </w:p>
        </w:tc>
        <w:tc>
          <w:tcPr>
            <w:tcW w:w="4541" w:type="dxa"/>
            <w:shd w:val="clear" w:color="auto" w:fill="auto"/>
            <w:vAlign w:val="center"/>
          </w:tcPr>
          <w:p w:rsidR="00F77180" w:rsidRPr="00F77180" w:rsidRDefault="00F77180" w:rsidP="00E969E0">
            <w:pPr>
              <w:pStyle w:val="Default"/>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Деклараці</w:t>
            </w:r>
            <w:r w:rsidR="00E969E0">
              <w:rPr>
                <w:rFonts w:ascii="Times New Roman" w:eastAsia="Times New Roman" w:hAnsi="Times New Roman" w:cs="Times New Roman"/>
                <w:bCs/>
                <w:spacing w:val="-7"/>
                <w:lang w:val="uk-UA" w:eastAsia="ru-RU"/>
              </w:rPr>
              <w:t>я</w:t>
            </w:r>
            <w:r w:rsidRPr="00F77180">
              <w:rPr>
                <w:rFonts w:ascii="Times New Roman" w:eastAsia="Times New Roman" w:hAnsi="Times New Roman" w:cs="Times New Roman"/>
                <w:bCs/>
                <w:spacing w:val="-7"/>
                <w:lang w:val="uk-UA" w:eastAsia="ru-RU"/>
              </w:rPr>
              <w:t xml:space="preserve"> CE (або сертифікату FDA) про класифікацію товарів як медичних виробів для діа</w:t>
            </w:r>
            <w:r w:rsidR="00E969E0">
              <w:rPr>
                <w:rFonts w:ascii="Times New Roman" w:eastAsia="Times New Roman" w:hAnsi="Times New Roman" w:cs="Times New Roman"/>
                <w:bCs/>
                <w:spacing w:val="-7"/>
                <w:lang w:val="uk-UA" w:eastAsia="ru-RU"/>
              </w:rPr>
              <w:t xml:space="preserve">гностики </w:t>
            </w:r>
            <w:proofErr w:type="spellStart"/>
            <w:r w:rsidR="00E969E0">
              <w:rPr>
                <w:rFonts w:ascii="Times New Roman" w:eastAsia="Times New Roman" w:hAnsi="Times New Roman" w:cs="Times New Roman"/>
                <w:bCs/>
                <w:spacing w:val="-7"/>
                <w:lang w:val="uk-UA" w:eastAsia="ru-RU"/>
              </w:rPr>
              <w:t>in</w:t>
            </w:r>
            <w:proofErr w:type="spellEnd"/>
            <w:r w:rsidR="00E969E0">
              <w:rPr>
                <w:rFonts w:ascii="Times New Roman" w:eastAsia="Times New Roman" w:hAnsi="Times New Roman" w:cs="Times New Roman"/>
                <w:bCs/>
                <w:spacing w:val="-7"/>
                <w:lang w:val="uk-UA" w:eastAsia="ru-RU"/>
              </w:rPr>
              <w:t xml:space="preserve"> </w:t>
            </w:r>
            <w:proofErr w:type="spellStart"/>
            <w:r w:rsidR="00E969E0">
              <w:rPr>
                <w:rFonts w:ascii="Times New Roman" w:eastAsia="Times New Roman" w:hAnsi="Times New Roman" w:cs="Times New Roman"/>
                <w:bCs/>
                <w:spacing w:val="-7"/>
                <w:lang w:val="uk-UA" w:eastAsia="ru-RU"/>
              </w:rPr>
              <w:t>vitro</w:t>
            </w:r>
            <w:proofErr w:type="spellEnd"/>
          </w:p>
        </w:tc>
        <w:tc>
          <w:tcPr>
            <w:tcW w:w="3245" w:type="dxa"/>
            <w:shd w:val="clear" w:color="auto" w:fill="auto"/>
          </w:tcPr>
          <w:p w:rsidR="00F77180" w:rsidRPr="00AF0CCF" w:rsidRDefault="00E969E0" w:rsidP="00F77180">
            <w:pPr>
              <w:ind w:right="-365"/>
              <w:rPr>
                <w:bCs/>
              </w:rPr>
            </w:pPr>
            <w:r>
              <w:rPr>
                <w:bCs/>
                <w:spacing w:val="-7"/>
              </w:rPr>
              <w:t>н</w:t>
            </w:r>
            <w:r w:rsidRPr="00F77180">
              <w:rPr>
                <w:bCs/>
                <w:spacing w:val="-7"/>
              </w:rPr>
              <w:t>аявність</w:t>
            </w:r>
            <w:r>
              <w:rPr>
                <w:bCs/>
                <w:spacing w:val="-7"/>
              </w:rPr>
              <w:t>, надати копію</w:t>
            </w:r>
          </w:p>
        </w:tc>
        <w:tc>
          <w:tcPr>
            <w:tcW w:w="1416" w:type="dxa"/>
          </w:tcPr>
          <w:p w:rsidR="00F77180" w:rsidRPr="005A6C1E" w:rsidRDefault="00F77180" w:rsidP="00F77180"/>
        </w:tc>
      </w:tr>
      <w:tr w:rsidR="00F77180" w:rsidRPr="005A6C1E" w:rsidTr="007A5156">
        <w:tc>
          <w:tcPr>
            <w:tcW w:w="466" w:type="dxa"/>
            <w:shd w:val="clear" w:color="auto" w:fill="auto"/>
            <w:vAlign w:val="center"/>
          </w:tcPr>
          <w:p w:rsidR="00F77180" w:rsidRPr="005A6C1E" w:rsidRDefault="00F77180" w:rsidP="00F77180">
            <w:pPr>
              <w:tabs>
                <w:tab w:val="left" w:pos="34"/>
              </w:tabs>
            </w:pPr>
            <w:r>
              <w:t>28</w:t>
            </w:r>
          </w:p>
        </w:tc>
        <w:tc>
          <w:tcPr>
            <w:tcW w:w="4541" w:type="dxa"/>
            <w:shd w:val="clear" w:color="auto" w:fill="auto"/>
            <w:vAlign w:val="center"/>
          </w:tcPr>
          <w:p w:rsidR="00F77180" w:rsidRPr="00F7718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С</w:t>
            </w:r>
            <w:r w:rsidR="00F77180" w:rsidRPr="00F77180">
              <w:rPr>
                <w:rFonts w:ascii="Times New Roman" w:eastAsia="Times New Roman" w:hAnsi="Times New Roman" w:cs="Times New Roman"/>
                <w:bCs/>
                <w:spacing w:val="-7"/>
                <w:lang w:val="uk-UA" w:eastAsia="ru-RU"/>
              </w:rPr>
              <w:t xml:space="preserve">ертифікат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w:t>
            </w:r>
            <w:r w:rsidR="00F77180" w:rsidRPr="00F77180">
              <w:rPr>
                <w:rFonts w:ascii="Times New Roman" w:eastAsia="Times New Roman" w:hAnsi="Times New Roman" w:cs="Times New Roman"/>
                <w:bCs/>
                <w:spacing w:val="-7"/>
                <w:lang w:val="uk-UA" w:eastAsia="ru-RU"/>
              </w:rPr>
              <w:lastRenderedPageBreak/>
              <w:t>посудом, меблями, приладами та аналіти</w:t>
            </w:r>
            <w:r>
              <w:rPr>
                <w:rFonts w:ascii="Times New Roman" w:eastAsia="Times New Roman" w:hAnsi="Times New Roman" w:cs="Times New Roman"/>
                <w:bCs/>
                <w:spacing w:val="-7"/>
                <w:lang w:val="uk-UA" w:eastAsia="ru-RU"/>
              </w:rPr>
              <w:t>чним обладнанням</w:t>
            </w:r>
          </w:p>
        </w:tc>
        <w:tc>
          <w:tcPr>
            <w:tcW w:w="3245" w:type="dxa"/>
            <w:shd w:val="clear" w:color="auto" w:fill="auto"/>
          </w:tcPr>
          <w:p w:rsidR="00F77180" w:rsidRPr="00AF0CCF" w:rsidRDefault="00E969E0" w:rsidP="00F77180">
            <w:pPr>
              <w:ind w:right="-365"/>
              <w:rPr>
                <w:bCs/>
              </w:rPr>
            </w:pPr>
            <w:r>
              <w:rPr>
                <w:bCs/>
                <w:spacing w:val="-7"/>
              </w:rPr>
              <w:lastRenderedPageBreak/>
              <w:t>н</w:t>
            </w:r>
            <w:r w:rsidRPr="00F77180">
              <w:rPr>
                <w:bCs/>
                <w:spacing w:val="-7"/>
              </w:rPr>
              <w:t>аявність</w:t>
            </w:r>
            <w:r>
              <w:rPr>
                <w:bCs/>
                <w:spacing w:val="-7"/>
              </w:rPr>
              <w:t>, надати копію</w:t>
            </w:r>
          </w:p>
        </w:tc>
        <w:tc>
          <w:tcPr>
            <w:tcW w:w="1416" w:type="dxa"/>
          </w:tcPr>
          <w:p w:rsidR="00F77180" w:rsidRPr="005A6C1E" w:rsidRDefault="00F77180" w:rsidP="00F77180"/>
        </w:tc>
      </w:tr>
      <w:tr w:rsidR="00F77180" w:rsidRPr="005A6C1E" w:rsidTr="00E54E44">
        <w:tc>
          <w:tcPr>
            <w:tcW w:w="466" w:type="dxa"/>
            <w:shd w:val="clear" w:color="auto" w:fill="auto"/>
            <w:vAlign w:val="center"/>
          </w:tcPr>
          <w:p w:rsidR="00F77180" w:rsidRPr="005A6C1E" w:rsidRDefault="00F77180" w:rsidP="00F77180">
            <w:pPr>
              <w:tabs>
                <w:tab w:val="left" w:pos="34"/>
              </w:tabs>
            </w:pPr>
            <w:r>
              <w:lastRenderedPageBreak/>
              <w:t>29</w:t>
            </w:r>
          </w:p>
        </w:tc>
        <w:tc>
          <w:tcPr>
            <w:tcW w:w="4541" w:type="dxa"/>
            <w:shd w:val="clear" w:color="auto" w:fill="auto"/>
          </w:tcPr>
          <w:p w:rsidR="00E969E0" w:rsidRDefault="00E969E0" w:rsidP="00E969E0">
            <w:pPr>
              <w:pStyle w:val="Default"/>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С</w:t>
            </w:r>
            <w:r w:rsidR="00F77180" w:rsidRPr="00F77180">
              <w:rPr>
                <w:rFonts w:ascii="Times New Roman" w:eastAsia="Times New Roman" w:hAnsi="Times New Roman" w:cs="Times New Roman"/>
                <w:bCs/>
                <w:spacing w:val="-7"/>
                <w:lang w:val="uk-UA" w:eastAsia="ru-RU"/>
              </w:rPr>
              <w:t>тартов</w:t>
            </w:r>
            <w:r>
              <w:rPr>
                <w:rFonts w:ascii="Times New Roman" w:eastAsia="Times New Roman" w:hAnsi="Times New Roman" w:cs="Times New Roman"/>
                <w:bCs/>
                <w:spacing w:val="-7"/>
                <w:lang w:val="uk-UA" w:eastAsia="ru-RU"/>
              </w:rPr>
              <w:t>ий</w:t>
            </w:r>
            <w:r w:rsidR="00F77180" w:rsidRPr="00F77180">
              <w:rPr>
                <w:rFonts w:ascii="Times New Roman" w:eastAsia="Times New Roman" w:hAnsi="Times New Roman" w:cs="Times New Roman"/>
                <w:bCs/>
                <w:spacing w:val="-7"/>
                <w:lang w:val="uk-UA" w:eastAsia="ru-RU"/>
              </w:rPr>
              <w:t xml:space="preserve"> набор реагентів, які повинні супроводжуватись завіреною копією декларації відповідності, що підтверджує можливість введення в обіг медичного виробу за результатами проходження процедури оцінки відп</w:t>
            </w:r>
            <w:r>
              <w:rPr>
                <w:rFonts w:ascii="Times New Roman" w:eastAsia="Times New Roman" w:hAnsi="Times New Roman" w:cs="Times New Roman"/>
                <w:bCs/>
                <w:spacing w:val="-7"/>
                <w:lang w:val="uk-UA" w:eastAsia="ru-RU"/>
              </w:rPr>
              <w:t>овідності технічному регламенту</w:t>
            </w:r>
          </w:p>
          <w:p w:rsidR="00E969E0" w:rsidRPr="00290033" w:rsidRDefault="00E969E0" w:rsidP="00731475">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290033">
              <w:rPr>
                <w:rFonts w:ascii="Times New Roman" w:eastAsia="Times New Roman" w:hAnsi="Times New Roman" w:cs="Times New Roman"/>
                <w:bCs/>
                <w:spacing w:val="-7"/>
                <w:lang w:val="uk-UA" w:eastAsia="ru-RU"/>
              </w:rPr>
              <w:t xml:space="preserve">Реагент «M-52D </w:t>
            </w:r>
            <w:proofErr w:type="spellStart"/>
            <w:r w:rsidRPr="00290033">
              <w:rPr>
                <w:rFonts w:ascii="Times New Roman" w:eastAsia="Times New Roman" w:hAnsi="Times New Roman" w:cs="Times New Roman"/>
                <w:bCs/>
                <w:spacing w:val="-7"/>
                <w:lang w:val="uk-UA" w:eastAsia="ru-RU"/>
              </w:rPr>
              <w:t>Diluent</w:t>
            </w:r>
            <w:proofErr w:type="spellEnd"/>
            <w:r w:rsidRPr="00290033">
              <w:rPr>
                <w:rFonts w:ascii="Times New Roman" w:eastAsia="Times New Roman" w:hAnsi="Times New Roman" w:cs="Times New Roman"/>
                <w:bCs/>
                <w:spacing w:val="-7"/>
                <w:lang w:val="uk-UA" w:eastAsia="ru-RU"/>
              </w:rPr>
              <w:t>» 20л</w:t>
            </w:r>
            <w:r w:rsidRPr="00290033">
              <w:rPr>
                <w:rFonts w:ascii="Times New Roman" w:eastAsia="Times New Roman" w:hAnsi="Times New Roman" w:cs="Times New Roman"/>
                <w:bCs/>
                <w:spacing w:val="-7"/>
                <w:lang w:val="uk-UA" w:eastAsia="ru-RU"/>
              </w:rPr>
              <w:t xml:space="preserve">, </w:t>
            </w:r>
            <w:r w:rsidR="00290033" w:rsidRPr="00290033">
              <w:rPr>
                <w:rFonts w:ascii="Times New Roman" w:eastAsia="Times New Roman" w:hAnsi="Times New Roman" w:cs="Times New Roman"/>
                <w:bCs/>
                <w:spacing w:val="-7"/>
                <w:lang w:val="uk-UA" w:eastAsia="ru-RU"/>
              </w:rPr>
              <w:t xml:space="preserve">активні інгредієнти: </w:t>
            </w:r>
            <w:proofErr w:type="spellStart"/>
            <w:r w:rsidRPr="00290033">
              <w:rPr>
                <w:rFonts w:ascii="Times New Roman" w:eastAsia="Times New Roman" w:hAnsi="Times New Roman" w:cs="Times New Roman"/>
                <w:bCs/>
                <w:spacing w:val="-7"/>
                <w:lang w:val="uk-UA" w:eastAsia="ru-RU"/>
              </w:rPr>
              <w:t>Боратний</w:t>
            </w:r>
            <w:proofErr w:type="spellEnd"/>
            <w:r w:rsidRPr="00290033">
              <w:rPr>
                <w:rFonts w:ascii="Times New Roman" w:eastAsia="Times New Roman" w:hAnsi="Times New Roman" w:cs="Times New Roman"/>
                <w:bCs/>
                <w:spacing w:val="-7"/>
                <w:lang w:val="uk-UA" w:eastAsia="ru-RU"/>
              </w:rPr>
              <w:t xml:space="preserve"> буфер 5г/л</w:t>
            </w:r>
            <w:r w:rsidR="00290033" w:rsidRPr="00290033">
              <w:rPr>
                <w:rFonts w:ascii="Times New Roman" w:eastAsia="Times New Roman" w:hAnsi="Times New Roman" w:cs="Times New Roman"/>
                <w:bCs/>
                <w:spacing w:val="-7"/>
                <w:lang w:val="uk-UA" w:eastAsia="ru-RU"/>
              </w:rPr>
              <w:t xml:space="preserve">, </w:t>
            </w:r>
            <w:r w:rsidRPr="00290033">
              <w:rPr>
                <w:rFonts w:ascii="Times New Roman" w:eastAsia="Times New Roman" w:hAnsi="Times New Roman" w:cs="Times New Roman"/>
                <w:bCs/>
                <w:spacing w:val="-7"/>
                <w:lang w:val="uk-UA" w:eastAsia="ru-RU"/>
              </w:rPr>
              <w:t>Хлорид натрію ≤0.1%</w:t>
            </w:r>
          </w:p>
          <w:p w:rsidR="00290033" w:rsidRPr="00F77180" w:rsidRDefault="00290033" w:rsidP="00290033">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Pr>
                <w:rFonts w:ascii="Times New Roman" w:eastAsia="Times New Roman" w:hAnsi="Times New Roman" w:cs="Times New Roman"/>
                <w:bCs/>
                <w:spacing w:val="-7"/>
                <w:lang w:val="uk-UA" w:eastAsia="ru-RU"/>
              </w:rPr>
              <w:t xml:space="preserve">Реагент </w:t>
            </w:r>
            <w:r w:rsidRPr="00F77180">
              <w:rPr>
                <w:rFonts w:ascii="Times New Roman" w:eastAsia="Times New Roman" w:hAnsi="Times New Roman" w:cs="Times New Roman"/>
                <w:bCs/>
                <w:spacing w:val="-7"/>
                <w:lang w:val="uk-UA" w:eastAsia="ru-RU"/>
              </w:rPr>
              <w:t xml:space="preserve">«M-52DIFF </w:t>
            </w:r>
            <w:proofErr w:type="spellStart"/>
            <w:r w:rsidRPr="00F77180">
              <w:rPr>
                <w:rFonts w:ascii="Times New Roman" w:eastAsia="Times New Roman" w:hAnsi="Times New Roman" w:cs="Times New Roman"/>
                <w:bCs/>
                <w:spacing w:val="-7"/>
                <w:lang w:val="uk-UA" w:eastAsia="ru-RU"/>
              </w:rPr>
              <w:t>Lyse</w:t>
            </w:r>
            <w:proofErr w:type="spellEnd"/>
            <w:r w:rsidRPr="00F77180">
              <w:rPr>
                <w:rFonts w:ascii="Times New Roman" w:eastAsia="Times New Roman" w:hAnsi="Times New Roman" w:cs="Times New Roman"/>
                <w:bCs/>
                <w:spacing w:val="-7"/>
                <w:lang w:val="uk-UA" w:eastAsia="ru-RU"/>
              </w:rPr>
              <w:t>» 500мл</w:t>
            </w:r>
            <w:r w:rsidRPr="00290033">
              <w:rPr>
                <w:rFonts w:ascii="Times New Roman" w:eastAsia="Times New Roman" w:hAnsi="Times New Roman" w:cs="Times New Roman"/>
                <w:bCs/>
                <w:spacing w:val="-7"/>
                <w:lang w:val="uk-UA" w:eastAsia="ru-RU"/>
              </w:rPr>
              <w:t>, активні інгредієнти:</w:t>
            </w:r>
            <w:r w:rsidRPr="00F77180">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поверхньо</w:t>
            </w:r>
            <w:proofErr w:type="spellEnd"/>
            <w:r w:rsidRPr="00F77180">
              <w:rPr>
                <w:rFonts w:ascii="Times New Roman" w:eastAsia="Times New Roman" w:hAnsi="Times New Roman" w:cs="Times New Roman"/>
                <w:bCs/>
                <w:spacing w:val="-7"/>
                <w:lang w:val="uk-UA" w:eastAsia="ru-RU"/>
              </w:rPr>
              <w:t>-</w:t>
            </w:r>
            <w:r>
              <w:rPr>
                <w:rFonts w:ascii="Times New Roman" w:eastAsia="Times New Roman" w:hAnsi="Times New Roman" w:cs="Times New Roman"/>
                <w:bCs/>
                <w:spacing w:val="-7"/>
                <w:lang w:val="uk-UA" w:eastAsia="ru-RU"/>
              </w:rPr>
              <w:t xml:space="preserve">активні речовини </w:t>
            </w:r>
            <w:r w:rsidRPr="00F77180">
              <w:rPr>
                <w:rFonts w:ascii="MS Gothic" w:eastAsia="MS Gothic" w:hAnsi="MS Gothic" w:cs="MS Gothic" w:hint="eastAsia"/>
                <w:bCs/>
                <w:spacing w:val="-7"/>
                <w:lang w:val="uk-UA" w:eastAsia="ru-RU"/>
              </w:rPr>
              <w:t>＜</w:t>
            </w:r>
            <w:r w:rsidRPr="00F77180">
              <w:rPr>
                <w:rFonts w:ascii="Times New Roman" w:eastAsia="Times New Roman" w:hAnsi="Times New Roman" w:cs="Times New Roman"/>
                <w:bCs/>
                <w:spacing w:val="-7"/>
                <w:lang w:val="uk-UA" w:eastAsia="ru-RU"/>
              </w:rPr>
              <w:t>35г/л</w:t>
            </w:r>
          </w:p>
          <w:p w:rsidR="00E969E0" w:rsidRDefault="00290033" w:rsidP="00290033">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290033">
              <w:rPr>
                <w:rFonts w:ascii="Times New Roman" w:eastAsia="Times New Roman" w:hAnsi="Times New Roman" w:cs="Times New Roman"/>
                <w:bCs/>
                <w:spacing w:val="-7"/>
                <w:lang w:val="uk-UA" w:eastAsia="ru-RU"/>
              </w:rPr>
              <w:t xml:space="preserve">Реагент «M-52LH </w:t>
            </w:r>
            <w:proofErr w:type="spellStart"/>
            <w:r w:rsidRPr="00290033">
              <w:rPr>
                <w:rFonts w:ascii="Times New Roman" w:eastAsia="Times New Roman" w:hAnsi="Times New Roman" w:cs="Times New Roman"/>
                <w:bCs/>
                <w:spacing w:val="-7"/>
                <w:lang w:val="uk-UA" w:eastAsia="ru-RU"/>
              </w:rPr>
              <w:t>Lyse</w:t>
            </w:r>
            <w:proofErr w:type="spellEnd"/>
            <w:r w:rsidRPr="00290033">
              <w:rPr>
                <w:rFonts w:ascii="Times New Roman" w:eastAsia="Times New Roman" w:hAnsi="Times New Roman" w:cs="Times New Roman"/>
                <w:bCs/>
                <w:spacing w:val="-7"/>
                <w:lang w:val="uk-UA" w:eastAsia="ru-RU"/>
              </w:rPr>
              <w:t>» 100</w:t>
            </w:r>
            <w:r w:rsidRPr="00290033">
              <w:rPr>
                <w:rFonts w:ascii="Times New Roman" w:eastAsia="Times New Roman" w:hAnsi="Times New Roman" w:cs="Times New Roman"/>
                <w:bCs/>
                <w:spacing w:val="-7"/>
                <w:lang w:val="uk-UA" w:eastAsia="ru-RU"/>
              </w:rPr>
              <w:t>мл, активні інгредієнти</w:t>
            </w:r>
            <w:r w:rsidRPr="00290033">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Четвертична</w:t>
            </w:r>
            <w:proofErr w:type="spellEnd"/>
            <w:r w:rsidRPr="00F77180">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аммонійна</w:t>
            </w:r>
            <w:proofErr w:type="spellEnd"/>
            <w:r w:rsidRPr="00F77180">
              <w:rPr>
                <w:rFonts w:ascii="Times New Roman" w:eastAsia="Times New Roman" w:hAnsi="Times New Roman" w:cs="Times New Roman"/>
                <w:bCs/>
                <w:spacing w:val="-7"/>
                <w:lang w:val="uk-UA" w:eastAsia="ru-RU"/>
              </w:rPr>
              <w:t xml:space="preserve"> сіль </w:t>
            </w:r>
            <w:r w:rsidRPr="00F77180">
              <w:rPr>
                <w:rFonts w:ascii="MS Gothic" w:eastAsia="MS Gothic" w:hAnsi="MS Gothic" w:cs="MS Gothic" w:hint="eastAsia"/>
                <w:bCs/>
                <w:spacing w:val="-7"/>
                <w:lang w:val="uk-UA" w:eastAsia="ru-RU"/>
              </w:rPr>
              <w:t>＜</w:t>
            </w:r>
            <w:r>
              <w:rPr>
                <w:rFonts w:ascii="Times New Roman" w:eastAsia="Times New Roman" w:hAnsi="Times New Roman" w:cs="Times New Roman"/>
                <w:bCs/>
                <w:spacing w:val="-7"/>
                <w:lang w:val="uk-UA" w:eastAsia="ru-RU"/>
              </w:rPr>
              <w:t xml:space="preserve">50г/л, </w:t>
            </w:r>
            <w:proofErr w:type="spellStart"/>
            <w:r w:rsidRPr="00F77180">
              <w:rPr>
                <w:rFonts w:ascii="Times New Roman" w:eastAsia="Times New Roman" w:hAnsi="Times New Roman" w:cs="Times New Roman"/>
                <w:bCs/>
                <w:spacing w:val="-7"/>
                <w:lang w:val="uk-UA" w:eastAsia="ru-RU"/>
              </w:rPr>
              <w:t>Ізопропіловий</w:t>
            </w:r>
            <w:proofErr w:type="spellEnd"/>
            <w:r w:rsidRPr="00F77180">
              <w:rPr>
                <w:rFonts w:ascii="Times New Roman" w:eastAsia="Times New Roman" w:hAnsi="Times New Roman" w:cs="Times New Roman"/>
                <w:bCs/>
                <w:spacing w:val="-7"/>
                <w:lang w:val="uk-UA" w:eastAsia="ru-RU"/>
              </w:rPr>
              <w:t xml:space="preserve"> спирт 2-10г/л</w:t>
            </w:r>
          </w:p>
          <w:p w:rsidR="00290033" w:rsidRDefault="00290033" w:rsidP="00290033">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Реагент «M-53P </w:t>
            </w:r>
            <w:proofErr w:type="spellStart"/>
            <w:r w:rsidRPr="00F77180">
              <w:rPr>
                <w:rFonts w:ascii="Times New Roman" w:eastAsia="Times New Roman" w:hAnsi="Times New Roman" w:cs="Times New Roman"/>
                <w:bCs/>
                <w:spacing w:val="-7"/>
                <w:lang w:val="uk-UA" w:eastAsia="ru-RU"/>
              </w:rPr>
              <w:t>Probe</w:t>
            </w:r>
            <w:proofErr w:type="spellEnd"/>
            <w:r w:rsidRPr="00F77180">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Сleanser</w:t>
            </w:r>
            <w:proofErr w:type="spellEnd"/>
            <w:r w:rsidRPr="00F77180">
              <w:rPr>
                <w:rFonts w:ascii="Times New Roman" w:eastAsia="Times New Roman" w:hAnsi="Times New Roman" w:cs="Times New Roman"/>
                <w:bCs/>
                <w:spacing w:val="-7"/>
                <w:lang w:val="uk-UA" w:eastAsia="ru-RU"/>
              </w:rPr>
              <w:t xml:space="preserve">» </w:t>
            </w:r>
            <w:r>
              <w:rPr>
                <w:rFonts w:ascii="Times New Roman" w:eastAsia="Times New Roman" w:hAnsi="Times New Roman" w:cs="Times New Roman"/>
                <w:bCs/>
                <w:spacing w:val="-7"/>
                <w:lang w:val="uk-UA" w:eastAsia="ru-RU"/>
              </w:rPr>
              <w:t>50</w:t>
            </w:r>
            <w:r w:rsidRPr="00F77180">
              <w:rPr>
                <w:rFonts w:ascii="Times New Roman" w:eastAsia="Times New Roman" w:hAnsi="Times New Roman" w:cs="Times New Roman"/>
                <w:bCs/>
                <w:spacing w:val="-7"/>
                <w:lang w:val="uk-UA" w:eastAsia="ru-RU"/>
              </w:rPr>
              <w:t xml:space="preserve">мл, </w:t>
            </w:r>
            <w:proofErr w:type="spellStart"/>
            <w:r w:rsidRPr="00F77180">
              <w:rPr>
                <w:rFonts w:ascii="Times New Roman" w:eastAsia="Times New Roman" w:hAnsi="Times New Roman" w:cs="Times New Roman"/>
                <w:bCs/>
                <w:spacing w:val="-7"/>
                <w:lang w:val="uk-UA" w:eastAsia="ru-RU"/>
              </w:rPr>
              <w:t>Mindray</w:t>
            </w:r>
            <w:proofErr w:type="spellEnd"/>
            <w:r>
              <w:rPr>
                <w:rFonts w:ascii="Times New Roman" w:eastAsia="Times New Roman" w:hAnsi="Times New Roman" w:cs="Times New Roman"/>
                <w:bCs/>
                <w:spacing w:val="-7"/>
                <w:lang w:val="uk-UA" w:eastAsia="ru-RU"/>
              </w:rPr>
              <w:t xml:space="preserve">, </w:t>
            </w:r>
            <w:r w:rsidRPr="00290033">
              <w:rPr>
                <w:rFonts w:ascii="Times New Roman" w:eastAsia="Times New Roman" w:hAnsi="Times New Roman" w:cs="Times New Roman"/>
                <w:bCs/>
                <w:spacing w:val="-7"/>
                <w:lang w:val="uk-UA" w:eastAsia="ru-RU"/>
              </w:rPr>
              <w:t>активні інгредієнти</w:t>
            </w:r>
            <w:r>
              <w:rPr>
                <w:rFonts w:ascii="Times New Roman" w:eastAsia="Times New Roman" w:hAnsi="Times New Roman" w:cs="Times New Roman"/>
                <w:bCs/>
                <w:spacing w:val="-7"/>
                <w:lang w:val="uk-UA" w:eastAsia="ru-RU"/>
              </w:rPr>
              <w:t xml:space="preserve">: </w:t>
            </w:r>
            <w:proofErr w:type="spellStart"/>
            <w:r>
              <w:rPr>
                <w:rFonts w:ascii="Times New Roman" w:eastAsia="Times New Roman" w:hAnsi="Times New Roman" w:cs="Times New Roman"/>
                <w:bCs/>
                <w:spacing w:val="-7"/>
                <w:lang w:val="uk-UA" w:eastAsia="ru-RU"/>
              </w:rPr>
              <w:t>Поверхньо</w:t>
            </w:r>
            <w:proofErr w:type="spellEnd"/>
            <w:r w:rsidRPr="00F77180">
              <w:rPr>
                <w:rFonts w:ascii="Times New Roman" w:eastAsia="Times New Roman" w:hAnsi="Times New Roman" w:cs="Times New Roman"/>
                <w:bCs/>
                <w:spacing w:val="-7"/>
                <w:lang w:val="uk-UA" w:eastAsia="ru-RU"/>
              </w:rPr>
              <w:t>-активні речовини &lt;2,0 г/л</w:t>
            </w:r>
            <w:r>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Гіпохлорид</w:t>
            </w:r>
            <w:proofErr w:type="spellEnd"/>
            <w:r w:rsidRPr="00F77180">
              <w:rPr>
                <w:rFonts w:ascii="Times New Roman" w:eastAsia="Times New Roman" w:hAnsi="Times New Roman" w:cs="Times New Roman"/>
                <w:bCs/>
                <w:spacing w:val="-7"/>
                <w:lang w:val="uk-UA" w:eastAsia="ru-RU"/>
              </w:rPr>
              <w:t xml:space="preserve"> натрію &lt;100,0 г/л</w:t>
            </w:r>
            <w:r>
              <w:rPr>
                <w:rFonts w:ascii="Times New Roman" w:eastAsia="Times New Roman" w:hAnsi="Times New Roman" w:cs="Times New Roman"/>
                <w:bCs/>
                <w:spacing w:val="-7"/>
                <w:lang w:val="uk-UA" w:eastAsia="ru-RU"/>
              </w:rPr>
              <w:t>, Гідроксид натрію &lt;</w:t>
            </w:r>
            <w:r w:rsidRPr="00F77180">
              <w:rPr>
                <w:rFonts w:ascii="Times New Roman" w:eastAsia="Times New Roman" w:hAnsi="Times New Roman" w:cs="Times New Roman"/>
                <w:bCs/>
                <w:spacing w:val="-7"/>
                <w:lang w:val="uk-UA" w:eastAsia="ru-RU"/>
              </w:rPr>
              <w:t>100,0 г/л</w:t>
            </w:r>
          </w:p>
          <w:p w:rsidR="00290033" w:rsidRPr="00F77180" w:rsidRDefault="00290033" w:rsidP="00290033">
            <w:pPr>
              <w:pStyle w:val="Default"/>
              <w:numPr>
                <w:ilvl w:val="0"/>
                <w:numId w:val="9"/>
              </w:numPr>
              <w:tabs>
                <w:tab w:val="left" w:pos="215"/>
              </w:tabs>
              <w:ind w:left="0" w:firstLine="0"/>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 xml:space="preserve">Діагностичний реагент </w:t>
            </w:r>
            <w:proofErr w:type="spellStart"/>
            <w:r w:rsidRPr="00F77180">
              <w:rPr>
                <w:rFonts w:ascii="Times New Roman" w:eastAsia="Times New Roman" w:hAnsi="Times New Roman" w:cs="Times New Roman"/>
                <w:bCs/>
                <w:spacing w:val="-7"/>
                <w:lang w:val="uk-UA" w:eastAsia="ru-RU"/>
              </w:rPr>
              <w:t>in</w:t>
            </w:r>
            <w:proofErr w:type="spellEnd"/>
            <w:r w:rsidRPr="00F77180">
              <w:rPr>
                <w:rFonts w:ascii="Times New Roman" w:eastAsia="Times New Roman" w:hAnsi="Times New Roman" w:cs="Times New Roman"/>
                <w:bCs/>
                <w:spacing w:val="-7"/>
                <w:lang w:val="uk-UA" w:eastAsia="ru-RU"/>
              </w:rPr>
              <w:t xml:space="preserve"> </w:t>
            </w:r>
            <w:proofErr w:type="spellStart"/>
            <w:r w:rsidRPr="00F77180">
              <w:rPr>
                <w:rFonts w:ascii="Times New Roman" w:eastAsia="Times New Roman" w:hAnsi="Times New Roman" w:cs="Times New Roman"/>
                <w:bCs/>
                <w:spacing w:val="-7"/>
                <w:lang w:val="uk-UA" w:eastAsia="ru-RU"/>
              </w:rPr>
              <w:t>vitro</w:t>
            </w:r>
            <w:proofErr w:type="spellEnd"/>
            <w:r>
              <w:rPr>
                <w:rFonts w:ascii="Times New Roman" w:eastAsia="Times New Roman" w:hAnsi="Times New Roman" w:cs="Times New Roman"/>
                <w:bCs/>
                <w:spacing w:val="-7"/>
                <w:lang w:val="uk-UA" w:eastAsia="ru-RU"/>
              </w:rPr>
              <w:t xml:space="preserve"> </w:t>
            </w:r>
            <w:r w:rsidRPr="00290033">
              <w:rPr>
                <w:rFonts w:ascii="Times New Roman" w:eastAsia="Times New Roman" w:hAnsi="Times New Roman" w:cs="Times New Roman"/>
                <w:bCs/>
                <w:spacing w:val="-7"/>
                <w:lang w:val="uk-UA" w:eastAsia="ru-RU"/>
              </w:rPr>
              <w:t>―</w:t>
            </w:r>
            <w:r w:rsidRPr="00F77180">
              <w:rPr>
                <w:rFonts w:ascii="Times New Roman" w:eastAsia="Times New Roman" w:hAnsi="Times New Roman" w:cs="Times New Roman"/>
                <w:bCs/>
                <w:spacing w:val="-7"/>
                <w:lang w:val="uk-UA" w:eastAsia="ru-RU"/>
              </w:rPr>
              <w:t xml:space="preserve"> Контрольний матеріал CBC-5DMR (Норма), призначений для контролю якості роботи гематологічних аналізаторів з диференціюванням п'ятьох </w:t>
            </w:r>
            <w:proofErr w:type="spellStart"/>
            <w:r w:rsidRPr="00F77180">
              <w:rPr>
                <w:rFonts w:ascii="Times New Roman" w:eastAsia="Times New Roman" w:hAnsi="Times New Roman" w:cs="Times New Roman"/>
                <w:bCs/>
                <w:spacing w:val="-7"/>
                <w:lang w:val="uk-UA" w:eastAsia="ru-RU"/>
              </w:rPr>
              <w:t>субпопуляцій</w:t>
            </w:r>
            <w:proofErr w:type="spellEnd"/>
            <w:r w:rsidRPr="00F77180">
              <w:rPr>
                <w:rFonts w:ascii="Times New Roman" w:eastAsia="Times New Roman" w:hAnsi="Times New Roman" w:cs="Times New Roman"/>
                <w:bCs/>
                <w:spacing w:val="-7"/>
                <w:lang w:val="uk-UA" w:eastAsia="ru-RU"/>
              </w:rPr>
              <w:t xml:space="preserve"> лейкоцитів. </w:t>
            </w:r>
          </w:p>
          <w:p w:rsidR="00290033" w:rsidRPr="00F77180" w:rsidRDefault="00290033" w:rsidP="00290033">
            <w:pPr>
              <w:pStyle w:val="Default"/>
              <w:tabs>
                <w:tab w:val="left" w:pos="215"/>
              </w:tabs>
              <w:rPr>
                <w:rFonts w:ascii="Times New Roman" w:eastAsia="Times New Roman" w:hAnsi="Times New Roman" w:cs="Times New Roman"/>
                <w:bCs/>
                <w:spacing w:val="-7"/>
                <w:lang w:val="uk-UA" w:eastAsia="ru-RU"/>
              </w:rPr>
            </w:pPr>
            <w:r w:rsidRPr="00F77180">
              <w:rPr>
                <w:rFonts w:ascii="Times New Roman" w:eastAsia="Times New Roman" w:hAnsi="Times New Roman" w:cs="Times New Roman"/>
                <w:bCs/>
                <w:spacing w:val="-7"/>
                <w:lang w:val="uk-UA" w:eastAsia="ru-RU"/>
              </w:rPr>
              <w:t>Матеріал контрольний повинен бути аналізованим контролем всієї крові, призначений для контролю значень на лічильниках клітин з множинними параметрами гематології. 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то що) на сумісність до приладу та можливість використання даного реагенту на даній моделі аналізатора</w:t>
            </w:r>
          </w:p>
        </w:tc>
        <w:tc>
          <w:tcPr>
            <w:tcW w:w="3245" w:type="dxa"/>
            <w:shd w:val="clear" w:color="auto" w:fill="auto"/>
          </w:tcPr>
          <w:p w:rsidR="00F77180" w:rsidRPr="00AF0CCF" w:rsidRDefault="00E969E0" w:rsidP="00F77180">
            <w:pPr>
              <w:ind w:right="-365"/>
              <w:rPr>
                <w:bCs/>
                <w:spacing w:val="-7"/>
              </w:rPr>
            </w:pPr>
            <w:r>
              <w:rPr>
                <w:bCs/>
                <w:spacing w:val="-7"/>
              </w:rPr>
              <w:t>наявність</w:t>
            </w:r>
          </w:p>
        </w:tc>
        <w:tc>
          <w:tcPr>
            <w:tcW w:w="1416" w:type="dxa"/>
          </w:tcPr>
          <w:p w:rsidR="00F77180" w:rsidRPr="005A6C1E" w:rsidRDefault="00F77180" w:rsidP="00F77180"/>
        </w:tc>
      </w:tr>
    </w:tbl>
    <w:p w:rsidR="00DA7800" w:rsidRDefault="00DA7800">
      <w:pPr>
        <w:spacing w:after="160" w:line="259" w:lineRule="auto"/>
        <w:rPr>
          <w:b/>
        </w:rPr>
      </w:pPr>
      <w:bookmarkStart w:id="0" w:name="_GoBack"/>
      <w:bookmarkEnd w:id="0"/>
    </w:p>
    <w:sectPr w:rsidR="00DA7800" w:rsidSect="00EE18FE">
      <w:pgSz w:w="11906" w:h="16838"/>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0E74"/>
    <w:multiLevelType w:val="multilevel"/>
    <w:tmpl w:val="5A86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43C24"/>
    <w:multiLevelType w:val="hybridMultilevel"/>
    <w:tmpl w:val="CFA0E71E"/>
    <w:lvl w:ilvl="0" w:tplc="D09EB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00025E"/>
    <w:multiLevelType w:val="multilevel"/>
    <w:tmpl w:val="FFC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F460F"/>
    <w:multiLevelType w:val="hybridMultilevel"/>
    <w:tmpl w:val="C186CDCE"/>
    <w:lvl w:ilvl="0" w:tplc="A5264E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38B829F1"/>
    <w:multiLevelType w:val="hybridMultilevel"/>
    <w:tmpl w:val="74A2EAA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D5C2765"/>
    <w:multiLevelType w:val="multilevel"/>
    <w:tmpl w:val="1C4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33FB5"/>
    <w:multiLevelType w:val="hybridMultilevel"/>
    <w:tmpl w:val="877C454E"/>
    <w:lvl w:ilvl="0" w:tplc="1FF0932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C7C160C"/>
    <w:multiLevelType w:val="hybridMultilevel"/>
    <w:tmpl w:val="171264F2"/>
    <w:lvl w:ilvl="0" w:tplc="FB36E5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30D7846"/>
    <w:multiLevelType w:val="hybridMultilevel"/>
    <w:tmpl w:val="B33EF99A"/>
    <w:lvl w:ilvl="0" w:tplc="1444E6C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32"/>
    <w:rsid w:val="00102B32"/>
    <w:rsid w:val="001502B3"/>
    <w:rsid w:val="00187BEA"/>
    <w:rsid w:val="001D6892"/>
    <w:rsid w:val="002003D2"/>
    <w:rsid w:val="00290033"/>
    <w:rsid w:val="00327E00"/>
    <w:rsid w:val="0035704D"/>
    <w:rsid w:val="003A7737"/>
    <w:rsid w:val="003E0DE2"/>
    <w:rsid w:val="005A6C1E"/>
    <w:rsid w:val="00720C04"/>
    <w:rsid w:val="007225A0"/>
    <w:rsid w:val="00737763"/>
    <w:rsid w:val="007D3708"/>
    <w:rsid w:val="0080331D"/>
    <w:rsid w:val="008122D3"/>
    <w:rsid w:val="008F3E14"/>
    <w:rsid w:val="00907A9D"/>
    <w:rsid w:val="00AF0CCF"/>
    <w:rsid w:val="00B35EB0"/>
    <w:rsid w:val="00B51A72"/>
    <w:rsid w:val="00BF3273"/>
    <w:rsid w:val="00D91780"/>
    <w:rsid w:val="00DA423D"/>
    <w:rsid w:val="00DA7663"/>
    <w:rsid w:val="00DA7800"/>
    <w:rsid w:val="00E431E9"/>
    <w:rsid w:val="00E55A70"/>
    <w:rsid w:val="00E969E0"/>
    <w:rsid w:val="00E97550"/>
    <w:rsid w:val="00EE18FE"/>
    <w:rsid w:val="00F77180"/>
    <w:rsid w:val="00FF7E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F84F"/>
  <w15:chartTrackingRefBased/>
  <w15:docId w15:val="{8122FF1B-644F-4876-9995-8EB4DA9B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B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37"/>
    <w:pPr>
      <w:ind w:left="720"/>
      <w:contextualSpacing/>
    </w:pPr>
  </w:style>
  <w:style w:type="paragraph" w:customStyle="1" w:styleId="a4">
    <w:name w:val="Готовый"/>
    <w:basedOn w:val="a"/>
    <w:rsid w:val="00AF0C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customStyle="1" w:styleId="Default">
    <w:name w:val="Default"/>
    <w:rsid w:val="00AF0CCF"/>
    <w:pPr>
      <w:suppressAutoHyphens/>
      <w:autoSpaceDE w:val="0"/>
      <w:spacing w:after="0" w:line="240" w:lineRule="auto"/>
    </w:pPr>
    <w:rPr>
      <w:rFonts w:ascii="Arial" w:eastAsia="SimSu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6217</Words>
  <Characters>3545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КНП Болградска ЦРЛ</dc:creator>
  <cp:keywords/>
  <dc:description/>
  <cp:lastModifiedBy>КНП Болградська ЦРЛ</cp:lastModifiedBy>
  <cp:revision>15</cp:revision>
  <dcterms:created xsi:type="dcterms:W3CDTF">2023-07-04T12:51:00Z</dcterms:created>
  <dcterms:modified xsi:type="dcterms:W3CDTF">2024-03-05T18:08:00Z</dcterms:modified>
</cp:coreProperties>
</file>