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2BFD88CC"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7A4D01">
        <w:rPr>
          <w:rFonts w:ascii="Times New Roman" w:eastAsia="Arial" w:hAnsi="Times New Roman" w:cs="Times New Roman"/>
          <w:bCs/>
          <w:color w:val="000000"/>
          <w:sz w:val="24"/>
          <w:szCs w:val="24"/>
          <w:lang w:val="ru-RU" w:eastAsia="ru-RU"/>
        </w:rPr>
        <w:t>01</w:t>
      </w:r>
      <w:r w:rsidR="007A4D01">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14DB2B92" w:rsidR="00B31CC6" w:rsidRPr="00B31CC6" w:rsidRDefault="007A4D01"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35120000-1 — Системи та пристрої нагляду та охорони (Ручний оглядовий металодетектор)</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5D1D1962" w:rsidR="00B31CC6" w:rsidRPr="00B31CC6" w:rsidRDefault="007A4D01"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35120000-1 — Системи та пристрої нагляду та охорони (Ручний оглядовий металодетектор)</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7E55CB" w:rsidRDefault="00B04E4D" w:rsidP="00B04E4D">
            <w:pPr>
              <w:jc w:val="both"/>
              <w:rPr>
                <w:rFonts w:ascii="Times New Roman" w:eastAsia="Times New Roman" w:hAnsi="Times New Roman" w:cs="Times New Roman"/>
                <w:sz w:val="24"/>
                <w:szCs w:val="24"/>
                <w:lang w:val="ru-RU"/>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2E34096F"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854CBB">
              <w:rPr>
                <w:rFonts w:ascii="Times New Roman" w:eastAsia="Times New Roman" w:hAnsi="Times New Roman" w:cs="Times New Roman"/>
                <w:b/>
                <w:sz w:val="24"/>
                <w:szCs w:val="24"/>
                <w:lang w:val="ru-RU"/>
              </w:rPr>
              <w:t>10.</w:t>
            </w:r>
            <w:r w:rsidR="00CF50A9">
              <w:rPr>
                <w:rFonts w:ascii="Times New Roman" w:eastAsia="Times New Roman" w:hAnsi="Times New Roman" w:cs="Times New Roman"/>
                <w:b/>
                <w:sz w:val="24"/>
                <w:szCs w:val="24"/>
              </w:rPr>
              <w:t>0</w:t>
            </w:r>
            <w:r w:rsidR="007A4D01">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4899E888"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7A4D01">
              <w:rPr>
                <w:rFonts w:ascii="Times New Roman" w:eastAsia="Times New Roman" w:hAnsi="Times New Roman" w:cs="Times New Roman"/>
                <w:b/>
                <w:i/>
                <w:sz w:val="24"/>
                <w:szCs w:val="24"/>
              </w:rPr>
              <w:t>ДК 021:2015: 35120000-1 — Системи та пристрої нагляду та охорони (Ручний оглядовий металодетектор)</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обладнання, </w:t>
            </w:r>
            <w:r w:rsidRPr="00582E49">
              <w:rPr>
                <w:rFonts w:ascii="Times New Roman" w:eastAsia="Times New Roman" w:hAnsi="Times New Roman" w:cs="Times New Roman"/>
                <w:b/>
                <w:sz w:val="24"/>
                <w:szCs w:val="24"/>
              </w:rPr>
              <w:lastRenderedPageBreak/>
              <w:t>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40DC6">
        <w:rPr>
          <w:rFonts w:ascii="Times New Roman" w:eastAsia="Times New Roman" w:hAnsi="Times New Roman" w:cs="Times New Roman"/>
          <w:sz w:val="20"/>
          <w:szCs w:val="20"/>
          <w:highlight w:val="yellow"/>
          <w:lang w:val="ru-RU"/>
        </w:rPr>
        <w:lastRenderedPageBreak/>
        <w:t>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40DC6">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lastRenderedPageBreak/>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0DE38F8"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7A4D01">
        <w:rPr>
          <w:rFonts w:ascii="Times New Roman" w:eastAsia="Times New Roman" w:hAnsi="Times New Roman" w:cs="Times New Roman"/>
          <w:b/>
          <w:sz w:val="24"/>
          <w:szCs w:val="24"/>
          <w:lang w:val="ru-RU"/>
        </w:rPr>
        <w:t>ДК 021:2015: 35120000-1 — Системи та пристрої нагляду та охорони (Ручний оглядовий металодетектор)</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0E26F6EE" w:rsidR="00B31CC6" w:rsidRPr="00B31CC6" w:rsidRDefault="007A4D01"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35120000-1 — Системи та пристрої нагляду та охорони (Ручний оглядовий металодетектор)</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2254E8">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FA4708">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5EAB46E7" w:rsidR="004008E5" w:rsidRPr="004008E5" w:rsidRDefault="00854CBB"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25</w:t>
            </w:r>
            <w:r w:rsidR="007A4D01">
              <w:rPr>
                <w:rFonts w:ascii="Times New Roman" w:eastAsia="Times New Roman" w:hAnsi="Times New Roman" w:cs="Times New Roman"/>
                <w:sz w:val="24"/>
                <w:szCs w:val="24"/>
              </w:rPr>
              <w:t>.04</w:t>
            </w:r>
            <w:r w:rsidR="004008E5" w:rsidRPr="004008E5">
              <w:rPr>
                <w:rFonts w:ascii="Times New Roman" w:eastAsia="Times New Roman" w:hAnsi="Times New Roman" w:cs="Times New Roman"/>
                <w:sz w:val="24"/>
                <w:szCs w:val="24"/>
              </w:rPr>
              <w:t>.2024</w:t>
            </w:r>
          </w:p>
        </w:tc>
      </w:tr>
      <w:tr w:rsidR="004008E5" w:rsidRPr="004008E5" w14:paraId="71CB09C2" w14:textId="77777777" w:rsidTr="002254E8">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416E8A5A" w:rsidR="004008E5" w:rsidRPr="004008E5" w:rsidRDefault="00FA4708" w:rsidP="004008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Протягом 3</w:t>
            </w:r>
            <w:r w:rsidR="004008E5" w:rsidRPr="004008E5">
              <w:rPr>
                <w:rFonts w:ascii="Times New Roman" w:eastAsia="Times New Roman" w:hAnsi="Times New Roman" w:cs="Times New Roman"/>
                <w:sz w:val="24"/>
                <w:szCs w:val="24"/>
                <w:lang w:val="ru-RU"/>
              </w:rPr>
              <w:t>0 днів з дня поставки</w:t>
            </w:r>
          </w:p>
        </w:tc>
      </w:tr>
      <w:tr w:rsidR="004008E5" w:rsidRPr="004008E5" w14:paraId="74080283" w14:textId="77777777" w:rsidTr="002254E8">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53CCFDA0" w:rsidR="004008E5" w:rsidRPr="004008E5" w:rsidRDefault="007A4D01" w:rsidP="00400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FA4708">
              <w:rPr>
                <w:rFonts w:ascii="Times New Roman" w:eastAsia="Times New Roman" w:hAnsi="Times New Roman" w:cs="Times New Roman"/>
                <w:sz w:val="24"/>
                <w:szCs w:val="24"/>
              </w:rPr>
              <w:t xml:space="preserve"> одиниць</w:t>
            </w:r>
          </w:p>
        </w:tc>
      </w:tr>
    </w:tbl>
    <w:p w14:paraId="73816C72" w14:textId="77777777" w:rsidR="00AF6B7A" w:rsidRDefault="00AF6B7A" w:rsidP="00AF6B7A">
      <w:pPr>
        <w:pStyle w:val="Standard"/>
        <w:rPr>
          <w:rFonts w:cs="Times New Roman"/>
        </w:rPr>
      </w:pPr>
    </w:p>
    <w:p w14:paraId="070255BC" w14:textId="77777777" w:rsidR="0042202B" w:rsidRDefault="0042202B" w:rsidP="0042202B">
      <w:pPr>
        <w:spacing w:after="0"/>
        <w:jc w:val="both"/>
        <w:rPr>
          <w:rFonts w:ascii="Times New Roman" w:hAnsi="Times New Roman" w:cs="Times New Roman"/>
        </w:rPr>
      </w:pPr>
    </w:p>
    <w:p w14:paraId="2D5A85CD" w14:textId="045E0BDA" w:rsidR="007A4D01" w:rsidRPr="007A4D01" w:rsidRDefault="007A4D01" w:rsidP="007A4D01">
      <w:pPr>
        <w:spacing w:after="0" w:line="240" w:lineRule="auto"/>
        <w:jc w:val="center"/>
        <w:rPr>
          <w:rFonts w:ascii="Arial" w:eastAsia="Times New Roman" w:hAnsi="Arial" w:cs="Arial"/>
          <w:b/>
          <w:color w:val="000000"/>
          <w:sz w:val="20"/>
          <w:szCs w:val="20"/>
          <w:lang w:eastAsia="ru-RU"/>
        </w:rPr>
      </w:pPr>
      <w:bookmarkStart w:id="7" w:name="_Hlk48811971"/>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650"/>
        <w:gridCol w:w="1276"/>
      </w:tblGrid>
      <w:tr w:rsidR="007A4D01" w:rsidRPr="007A4D01" w14:paraId="4050F36D" w14:textId="77777777" w:rsidTr="00DC0894">
        <w:trPr>
          <w:cantSplit/>
          <w:trHeight w:val="792"/>
          <w:jc w:val="center"/>
        </w:trPr>
        <w:tc>
          <w:tcPr>
            <w:tcW w:w="425" w:type="dxa"/>
            <w:vAlign w:val="center"/>
          </w:tcPr>
          <w:bookmarkEnd w:id="7"/>
          <w:p w14:paraId="04CBDA2D" w14:textId="77777777" w:rsidR="007A4D01" w:rsidRPr="007A4D01" w:rsidRDefault="007A4D01" w:rsidP="007A4D01">
            <w:pPr>
              <w:spacing w:after="0" w:line="240" w:lineRule="auto"/>
              <w:ind w:left="-79" w:right="-143"/>
              <w:jc w:val="center"/>
              <w:rPr>
                <w:rFonts w:ascii="Arial" w:eastAsia="Arial" w:hAnsi="Arial" w:cs="Arial"/>
                <w:color w:val="000000"/>
                <w:sz w:val="20"/>
                <w:szCs w:val="20"/>
                <w:lang w:val="ru-RU" w:eastAsia="ru-RU"/>
              </w:rPr>
            </w:pPr>
            <w:r w:rsidRPr="007A4D01">
              <w:rPr>
                <w:rFonts w:ascii="Arial" w:eastAsia="Arial" w:hAnsi="Arial" w:cs="Arial"/>
                <w:color w:val="000000"/>
                <w:sz w:val="20"/>
                <w:szCs w:val="20"/>
                <w:lang w:val="ru-RU" w:eastAsia="ru-RU"/>
              </w:rPr>
              <w:t>№ з/п</w:t>
            </w:r>
          </w:p>
        </w:tc>
        <w:tc>
          <w:tcPr>
            <w:tcW w:w="7650" w:type="dxa"/>
            <w:vAlign w:val="center"/>
          </w:tcPr>
          <w:p w14:paraId="1B7D9584" w14:textId="77777777" w:rsidR="007A4D01" w:rsidRPr="007A4D01" w:rsidRDefault="007A4D01" w:rsidP="007A4D01">
            <w:pPr>
              <w:spacing w:after="0" w:line="240" w:lineRule="auto"/>
              <w:ind w:right="-142"/>
              <w:jc w:val="center"/>
              <w:rPr>
                <w:rFonts w:ascii="Arial" w:eastAsia="Arial" w:hAnsi="Arial" w:cs="Arial"/>
                <w:color w:val="000000"/>
                <w:sz w:val="20"/>
                <w:szCs w:val="20"/>
                <w:lang w:val="ru-RU" w:eastAsia="ru-RU"/>
              </w:rPr>
            </w:pPr>
            <w:r w:rsidRPr="007A4D01">
              <w:rPr>
                <w:rFonts w:ascii="Arial" w:eastAsia="Arial" w:hAnsi="Arial" w:cs="Arial"/>
                <w:color w:val="000000"/>
                <w:sz w:val="20"/>
                <w:szCs w:val="20"/>
                <w:lang w:val="ru-RU" w:eastAsia="ru-RU"/>
              </w:rPr>
              <w:t>Назва предмету закупівлі</w:t>
            </w:r>
          </w:p>
        </w:tc>
        <w:tc>
          <w:tcPr>
            <w:tcW w:w="1276" w:type="dxa"/>
            <w:tcBorders>
              <w:bottom w:val="single" w:sz="4" w:space="0" w:color="auto"/>
            </w:tcBorders>
            <w:vAlign w:val="center"/>
          </w:tcPr>
          <w:p w14:paraId="3BDDA007" w14:textId="77777777" w:rsidR="007A4D01" w:rsidRPr="007A4D01" w:rsidRDefault="007A4D01" w:rsidP="007A4D01">
            <w:pPr>
              <w:spacing w:after="0" w:line="240" w:lineRule="auto"/>
              <w:ind w:right="-4"/>
              <w:jc w:val="center"/>
              <w:rPr>
                <w:rFonts w:ascii="Arial" w:eastAsia="Arial" w:hAnsi="Arial" w:cs="Arial"/>
                <w:color w:val="000000"/>
                <w:sz w:val="20"/>
                <w:szCs w:val="20"/>
                <w:lang w:val="ru-RU" w:eastAsia="ru-RU"/>
              </w:rPr>
            </w:pPr>
            <w:r w:rsidRPr="007A4D01">
              <w:rPr>
                <w:rFonts w:ascii="Arial" w:eastAsia="Arial" w:hAnsi="Arial" w:cs="Arial"/>
                <w:color w:val="000000"/>
                <w:sz w:val="20"/>
                <w:szCs w:val="20"/>
                <w:lang w:val="ru-RU" w:eastAsia="ru-RU"/>
              </w:rPr>
              <w:t>Кількість, од.</w:t>
            </w:r>
          </w:p>
        </w:tc>
      </w:tr>
      <w:tr w:rsidR="007A4D01" w:rsidRPr="007A4D01" w14:paraId="27B719FC" w14:textId="77777777" w:rsidTr="00DC0894">
        <w:trPr>
          <w:jc w:val="center"/>
        </w:trPr>
        <w:tc>
          <w:tcPr>
            <w:tcW w:w="425" w:type="dxa"/>
            <w:vAlign w:val="center"/>
          </w:tcPr>
          <w:p w14:paraId="7C976FFD" w14:textId="77777777" w:rsidR="007A4D01" w:rsidRPr="007A4D01" w:rsidRDefault="007A4D01" w:rsidP="007A4D01">
            <w:pPr>
              <w:spacing w:after="0" w:line="240" w:lineRule="auto"/>
              <w:jc w:val="center"/>
              <w:rPr>
                <w:rFonts w:ascii="Arial" w:eastAsia="Arial" w:hAnsi="Arial" w:cs="Arial"/>
                <w:color w:val="000000"/>
                <w:sz w:val="20"/>
                <w:szCs w:val="20"/>
                <w:lang w:eastAsia="ru-RU"/>
              </w:rPr>
            </w:pPr>
            <w:r w:rsidRPr="007A4D01">
              <w:rPr>
                <w:rFonts w:ascii="Arial" w:eastAsia="Arial" w:hAnsi="Arial" w:cs="Arial"/>
                <w:color w:val="000000"/>
                <w:sz w:val="20"/>
                <w:szCs w:val="20"/>
                <w:lang w:eastAsia="ru-RU"/>
              </w:rPr>
              <w:t>1</w:t>
            </w:r>
          </w:p>
        </w:tc>
        <w:tc>
          <w:tcPr>
            <w:tcW w:w="7650" w:type="dxa"/>
            <w:tcBorders>
              <w:top w:val="single" w:sz="4" w:space="0" w:color="auto"/>
              <w:left w:val="nil"/>
              <w:bottom w:val="single" w:sz="4" w:space="0" w:color="auto"/>
              <w:right w:val="single" w:sz="4" w:space="0" w:color="auto"/>
            </w:tcBorders>
            <w:shd w:val="clear" w:color="auto" w:fill="auto"/>
            <w:vAlign w:val="center"/>
          </w:tcPr>
          <w:p w14:paraId="58B0437B" w14:textId="77777777" w:rsidR="007A4D01" w:rsidRPr="007A4D01" w:rsidRDefault="007A4D01" w:rsidP="007A4D01">
            <w:pPr>
              <w:widowControl w:val="0"/>
              <w:spacing w:after="0" w:line="276" w:lineRule="auto"/>
              <w:rPr>
                <w:rFonts w:ascii="Arial" w:eastAsia="Arial" w:hAnsi="Arial" w:cs="Arial"/>
                <w:b/>
                <w:bCs/>
                <w:sz w:val="20"/>
                <w:szCs w:val="20"/>
                <w:lang w:val="en-US" w:eastAsia="ru-RU"/>
              </w:rPr>
            </w:pPr>
            <w:r w:rsidRPr="007A4D01">
              <w:rPr>
                <w:rFonts w:ascii="Arial" w:eastAsia="Arial" w:hAnsi="Arial" w:cs="Arial"/>
                <w:b/>
                <w:bCs/>
                <w:sz w:val="20"/>
                <w:szCs w:val="20"/>
                <w:lang w:val="ru-RU" w:eastAsia="ru-RU"/>
              </w:rPr>
              <w:t>Ручний</w:t>
            </w:r>
            <w:r w:rsidRPr="007A4D01">
              <w:rPr>
                <w:rFonts w:ascii="Arial" w:eastAsia="Arial" w:hAnsi="Arial" w:cs="Arial"/>
                <w:b/>
                <w:bCs/>
                <w:sz w:val="20"/>
                <w:szCs w:val="20"/>
                <w:lang w:val="en-US" w:eastAsia="ru-RU"/>
              </w:rPr>
              <w:t xml:space="preserve"> </w:t>
            </w:r>
            <w:r w:rsidRPr="007A4D01">
              <w:rPr>
                <w:rFonts w:ascii="Arial" w:eastAsia="Arial" w:hAnsi="Arial" w:cs="Arial"/>
                <w:b/>
                <w:bCs/>
                <w:sz w:val="20"/>
                <w:szCs w:val="20"/>
                <w:lang w:val="ru-RU" w:eastAsia="ru-RU"/>
              </w:rPr>
              <w:t>металодетектор</w:t>
            </w:r>
            <w:r w:rsidRPr="007A4D01">
              <w:rPr>
                <w:rFonts w:ascii="Arial" w:eastAsia="Arial" w:hAnsi="Arial" w:cs="Arial"/>
                <w:b/>
                <w:bCs/>
                <w:sz w:val="20"/>
                <w:szCs w:val="20"/>
                <w:lang w:val="en-US" w:eastAsia="ru-RU"/>
              </w:rPr>
              <w:t xml:space="preserve"> Garrett Super Scanner V</w:t>
            </w:r>
          </w:p>
          <w:p w14:paraId="7D19A836" w14:textId="77777777" w:rsidR="007A4D01" w:rsidRPr="007A4D01" w:rsidRDefault="007A4D01" w:rsidP="007A4D01">
            <w:pPr>
              <w:widowControl w:val="0"/>
              <w:spacing w:after="0" w:line="276" w:lineRule="auto"/>
              <w:rPr>
                <w:rFonts w:ascii="Arial" w:eastAsia="Times New Roman" w:hAnsi="Arial" w:cs="Arial"/>
                <w:b/>
                <w:bCs/>
                <w:color w:val="000000"/>
                <w:sz w:val="20"/>
                <w:szCs w:val="20"/>
                <w:u w:val="single"/>
                <w:lang w:val="en-US" w:eastAsia="ru-RU" w:bidi="uk-UA"/>
              </w:rPr>
            </w:pPr>
            <w:r w:rsidRPr="007A4D01">
              <w:rPr>
                <w:rFonts w:ascii="Arial" w:hAnsi="Arial" w:cs="Arial"/>
                <w:b/>
                <w:bCs/>
                <w:color w:val="000000"/>
                <w:sz w:val="20"/>
                <w:szCs w:val="20"/>
                <w:u w:val="single"/>
                <w:lang w:val="ru-RU" w:eastAsia="uk-UA"/>
              </w:rPr>
              <w:t>Виробник</w:t>
            </w:r>
            <w:r w:rsidRPr="007A4D01">
              <w:rPr>
                <w:rFonts w:ascii="Arial" w:hAnsi="Arial" w:cs="Arial"/>
                <w:b/>
                <w:bCs/>
                <w:color w:val="000000"/>
                <w:sz w:val="20"/>
                <w:szCs w:val="20"/>
                <w:u w:val="single"/>
                <w:lang w:val="en-US" w:eastAsia="uk-UA"/>
              </w:rPr>
              <w:t xml:space="preserve"> Garrett Electronics Inc, </w:t>
            </w:r>
            <w:r w:rsidRPr="007A4D01">
              <w:rPr>
                <w:rFonts w:ascii="Arial" w:hAnsi="Arial" w:cs="Arial"/>
                <w:b/>
                <w:bCs/>
                <w:color w:val="000000"/>
                <w:sz w:val="20"/>
                <w:szCs w:val="20"/>
                <w:u w:val="single"/>
                <w:lang w:val="ru-RU" w:eastAsia="uk-UA"/>
              </w:rPr>
              <w:t>США</w:t>
            </w:r>
          </w:p>
          <w:p w14:paraId="5C571A59"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Тип: Ручний доглядовий.</w:t>
            </w:r>
          </w:p>
          <w:p w14:paraId="149AB68E"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 xml:space="preserve">Звукова частота: 2 </w:t>
            </w:r>
            <w:r w:rsidRPr="007A4D01">
              <w:rPr>
                <w:rFonts w:ascii="Arial" w:eastAsia="Times New Roman" w:hAnsi="Arial" w:cs="Arial"/>
                <w:color w:val="000000"/>
                <w:sz w:val="20"/>
                <w:szCs w:val="20"/>
                <w:lang w:val="ru-RU" w:eastAsia="ru-RU" w:bidi="ru-RU"/>
              </w:rPr>
              <w:t>кГц.</w:t>
            </w:r>
          </w:p>
          <w:p w14:paraId="0E5A207C"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Довжина чутливої зони: 200 мм.</w:t>
            </w:r>
          </w:p>
          <w:p w14:paraId="329CDFAF"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Наявність кнопки зниження чутливості, самокалібрування, вібраційна, звукова та світлова індикації, індикатора розрядження батареї.</w:t>
            </w:r>
          </w:p>
          <w:p w14:paraId="473DFD9D"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Живлення: батарея 9 В (Крона), заміна батареї повинна здійснюватися легко без додаткового інструменту.</w:t>
            </w:r>
          </w:p>
          <w:p w14:paraId="30373CFD"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Робота від батареї: до 100 годин.</w:t>
            </w:r>
          </w:p>
          <w:p w14:paraId="522B7E4A"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bookmarkStart w:id="8" w:name="_Hlk162854066"/>
            <w:r w:rsidRPr="007A4D01">
              <w:rPr>
                <w:rFonts w:ascii="Arial" w:eastAsia="Times New Roman" w:hAnsi="Arial" w:cs="Arial"/>
                <w:color w:val="000000"/>
                <w:sz w:val="20"/>
                <w:szCs w:val="20"/>
                <w:lang w:val="ru-RU" w:eastAsia="ru-RU" w:bidi="uk-UA"/>
              </w:rPr>
              <w:t xml:space="preserve">Матеріал корпусу: посилений високоміцний, протиударний корпус з </w:t>
            </w:r>
            <w:r w:rsidRPr="007A4D01">
              <w:rPr>
                <w:rFonts w:ascii="Arial" w:eastAsia="Times New Roman" w:hAnsi="Arial" w:cs="Arial"/>
                <w:color w:val="000000"/>
                <w:sz w:val="20"/>
                <w:szCs w:val="20"/>
                <w:lang w:val="ru-RU" w:eastAsia="ru-RU" w:bidi="en-US"/>
              </w:rPr>
              <w:t xml:space="preserve">ABS </w:t>
            </w:r>
            <w:r w:rsidRPr="007A4D01">
              <w:rPr>
                <w:rFonts w:ascii="Arial" w:eastAsia="Times New Roman" w:hAnsi="Arial" w:cs="Arial"/>
                <w:color w:val="000000"/>
                <w:sz w:val="20"/>
                <w:szCs w:val="20"/>
                <w:lang w:val="ru-RU" w:eastAsia="ru-RU" w:bidi="uk-UA"/>
              </w:rPr>
              <w:t>пластику, по надійності повинен</w:t>
            </w:r>
            <w:r w:rsidRPr="007A4D01">
              <w:rPr>
                <w:rFonts w:ascii="Arial" w:eastAsia="Times New Roman" w:hAnsi="Arial" w:cs="Arial"/>
                <w:color w:val="000000"/>
                <w:sz w:val="20"/>
                <w:szCs w:val="20"/>
                <w:lang w:eastAsia="ru-RU" w:bidi="uk-UA"/>
              </w:rPr>
              <w:t xml:space="preserve"> відповідати або</w:t>
            </w:r>
            <w:r w:rsidRPr="007A4D01">
              <w:rPr>
                <w:rFonts w:ascii="Arial" w:eastAsia="Times New Roman" w:hAnsi="Arial" w:cs="Arial"/>
                <w:color w:val="000000"/>
                <w:sz w:val="20"/>
                <w:szCs w:val="20"/>
                <w:lang w:val="ru-RU" w:eastAsia="ru-RU" w:bidi="uk-UA"/>
              </w:rPr>
              <w:t xml:space="preserve"> перевищувати вимоги стандарту </w:t>
            </w:r>
            <w:r w:rsidRPr="007A4D01">
              <w:rPr>
                <w:rFonts w:ascii="Arial" w:eastAsia="Times New Roman" w:hAnsi="Arial" w:cs="Arial"/>
                <w:color w:val="000000"/>
                <w:sz w:val="20"/>
                <w:szCs w:val="20"/>
                <w:lang w:val="ru-RU" w:eastAsia="ru-RU" w:bidi="en-US"/>
              </w:rPr>
              <w:t xml:space="preserve">Mil-Std-810F </w:t>
            </w:r>
            <w:r w:rsidRPr="007A4D01">
              <w:rPr>
                <w:rFonts w:ascii="Arial" w:eastAsia="Times New Roman" w:hAnsi="Arial" w:cs="Arial"/>
                <w:color w:val="000000"/>
                <w:sz w:val="20"/>
                <w:szCs w:val="20"/>
                <w:lang w:val="ru-RU" w:eastAsia="ru-RU" w:bidi="uk-UA"/>
              </w:rPr>
              <w:t>(тест на падіння), метод 516.5, процедур</w:t>
            </w:r>
            <w:r w:rsidRPr="007A4D01">
              <w:rPr>
                <w:rFonts w:ascii="Arial" w:eastAsia="Times New Roman" w:hAnsi="Arial" w:cs="Arial"/>
                <w:color w:val="000000"/>
                <w:sz w:val="20"/>
                <w:szCs w:val="20"/>
                <w:lang w:eastAsia="ru-RU" w:bidi="uk-UA"/>
              </w:rPr>
              <w:t>а</w:t>
            </w:r>
            <w:r w:rsidRPr="007A4D01">
              <w:rPr>
                <w:rFonts w:ascii="Arial" w:eastAsia="Times New Roman" w:hAnsi="Arial" w:cs="Arial"/>
                <w:color w:val="000000"/>
                <w:sz w:val="20"/>
                <w:szCs w:val="20"/>
                <w:lang w:val="ru-RU" w:eastAsia="ru-RU" w:bidi="uk-UA"/>
              </w:rPr>
              <w:t xml:space="preserve"> II.</w:t>
            </w:r>
          </w:p>
          <w:bookmarkEnd w:id="8"/>
          <w:p w14:paraId="6998C88D" w14:textId="77777777" w:rsidR="007A4D01" w:rsidRPr="007A4D01" w:rsidRDefault="007A4D01" w:rsidP="007A4D01">
            <w:pPr>
              <w:widowControl w:val="0"/>
              <w:spacing w:after="0" w:line="276" w:lineRule="auto"/>
              <w:jc w:val="both"/>
              <w:rPr>
                <w:rFonts w:ascii="Arial" w:eastAsia="Times New Roman" w:hAnsi="Arial" w:cs="Arial"/>
                <w:sz w:val="20"/>
                <w:szCs w:val="20"/>
                <w:lang w:eastAsia="ru-RU"/>
              </w:rPr>
            </w:pPr>
            <w:r w:rsidRPr="007A4D01">
              <w:rPr>
                <w:rFonts w:ascii="Arial" w:eastAsia="Times New Roman" w:hAnsi="Arial" w:cs="Arial"/>
                <w:color w:val="000000"/>
                <w:sz w:val="20"/>
                <w:szCs w:val="20"/>
                <w:lang w:val="ru-RU" w:eastAsia="ru-RU" w:bidi="uk-UA"/>
              </w:rPr>
              <w:t>Діапазон температур роботи: -37 до +70°С</w:t>
            </w:r>
          </w:p>
          <w:p w14:paraId="2552CA1A"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Розміри: 83±5х413±10х42±3 мм.</w:t>
            </w:r>
          </w:p>
          <w:p w14:paraId="74200B1A" w14:textId="77777777" w:rsidR="007A4D01" w:rsidRPr="007A4D01" w:rsidRDefault="007A4D01" w:rsidP="007A4D01">
            <w:pPr>
              <w:widowControl w:val="0"/>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Вага: 0,5 ± 0,05 кг.</w:t>
            </w:r>
          </w:p>
          <w:p w14:paraId="0C56E57A" w14:textId="77777777" w:rsidR="007A4D01" w:rsidRPr="007A4D01" w:rsidRDefault="007A4D01" w:rsidP="007A4D01">
            <w:pPr>
              <w:widowControl w:val="0"/>
              <w:tabs>
                <w:tab w:val="left" w:pos="0"/>
              </w:tabs>
              <w:spacing w:after="0" w:line="276" w:lineRule="auto"/>
              <w:jc w:val="both"/>
              <w:rPr>
                <w:rFonts w:ascii="Arial" w:eastAsia="Times New Roman" w:hAnsi="Arial" w:cs="Arial"/>
                <w:sz w:val="20"/>
                <w:szCs w:val="20"/>
                <w:lang w:val="ru-RU" w:eastAsia="ru-RU"/>
              </w:rPr>
            </w:pPr>
            <w:r w:rsidRPr="007A4D01">
              <w:rPr>
                <w:rFonts w:ascii="Arial" w:eastAsia="Times New Roman" w:hAnsi="Arial" w:cs="Arial"/>
                <w:color w:val="000000"/>
                <w:sz w:val="20"/>
                <w:szCs w:val="20"/>
                <w:lang w:val="ru-RU" w:eastAsia="ru-RU" w:bidi="uk-UA"/>
              </w:rPr>
              <w:t>Вимоги до пакування:</w:t>
            </w:r>
          </w:p>
          <w:p w14:paraId="7CAE24B3"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t>Металодетектор повинен бути у тарі або упаковці, що відповідає встановленим вимогам та виключає можливість його псування або знищення.</w:t>
            </w:r>
          </w:p>
          <w:p w14:paraId="3FC2EDC0"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t>Країна-виробник товару – США</w:t>
            </w:r>
          </w:p>
          <w:p w14:paraId="3427A901"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eastAsia="ru-RU" w:bidi="uk-UA"/>
              </w:rPr>
            </w:pPr>
            <w:r w:rsidRPr="007A4D01">
              <w:rPr>
                <w:rFonts w:ascii="Arial" w:eastAsia="Times New Roman" w:hAnsi="Arial" w:cs="Arial"/>
                <w:color w:val="000000"/>
                <w:sz w:val="20"/>
                <w:szCs w:val="20"/>
                <w:lang w:val="ru-RU" w:eastAsia="ru-RU" w:bidi="uk-UA"/>
              </w:rPr>
              <w:t>Гарантія – 36 місяці</w:t>
            </w:r>
            <w:r w:rsidRPr="007A4D01">
              <w:rPr>
                <w:rFonts w:ascii="Arial" w:eastAsia="Times New Roman" w:hAnsi="Arial" w:cs="Arial"/>
                <w:color w:val="000000"/>
                <w:sz w:val="20"/>
                <w:szCs w:val="20"/>
                <w:lang w:eastAsia="ru-RU" w:bidi="uk-UA"/>
              </w:rPr>
              <w:t>в</w:t>
            </w:r>
          </w:p>
          <w:p w14:paraId="708B656D" w14:textId="77777777" w:rsidR="007A4D01" w:rsidRPr="007A4D01" w:rsidRDefault="007A4D01" w:rsidP="007A4D01">
            <w:pPr>
              <w:widowControl w:val="0"/>
              <w:spacing w:after="0" w:line="276" w:lineRule="auto"/>
              <w:jc w:val="both"/>
              <w:rPr>
                <w:rFonts w:ascii="Arial" w:eastAsia="Times New Roman" w:hAnsi="Arial" w:cs="Arial"/>
                <w:b/>
                <w:sz w:val="20"/>
                <w:szCs w:val="20"/>
                <w:lang w:val="ru-RU" w:eastAsia="ru-RU"/>
              </w:rPr>
            </w:pPr>
            <w:r w:rsidRPr="007A4D01">
              <w:rPr>
                <w:rFonts w:ascii="Arial" w:eastAsia="Times New Roman" w:hAnsi="Arial" w:cs="Arial"/>
                <w:b/>
                <w:color w:val="000000"/>
                <w:sz w:val="20"/>
                <w:szCs w:val="20"/>
                <w:lang w:val="ru-RU" w:eastAsia="ru-RU" w:bidi="uk-UA"/>
              </w:rPr>
              <w:t>Вимоги до комплектності:</w:t>
            </w:r>
          </w:p>
          <w:p w14:paraId="2EBEED2D"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t xml:space="preserve">Комплектація металодетектору обов’язково повинна включати в себе: </w:t>
            </w:r>
          </w:p>
          <w:p w14:paraId="6D9DA472"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t xml:space="preserve">- виріб; </w:t>
            </w:r>
          </w:p>
          <w:p w14:paraId="53BAA618"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t xml:space="preserve">- батарея 9 В (Крона) </w:t>
            </w:r>
          </w:p>
          <w:p w14:paraId="3A82CA26"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lastRenderedPageBreak/>
              <w:t xml:space="preserve">- паспорт на виріб; </w:t>
            </w:r>
          </w:p>
          <w:p w14:paraId="4691EF11"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t>- інструкція з експлуатації викладену українською мовою.</w:t>
            </w:r>
          </w:p>
          <w:p w14:paraId="678D4227" w14:textId="77777777" w:rsidR="007A4D01" w:rsidRPr="007A4D01" w:rsidRDefault="007A4D01" w:rsidP="007A4D01">
            <w:pPr>
              <w:widowControl w:val="0"/>
              <w:spacing w:after="0" w:line="276" w:lineRule="auto"/>
              <w:jc w:val="both"/>
              <w:rPr>
                <w:rFonts w:ascii="Arial" w:eastAsia="Times New Roman" w:hAnsi="Arial" w:cs="Arial"/>
                <w:color w:val="000000"/>
                <w:sz w:val="20"/>
                <w:szCs w:val="20"/>
                <w:lang w:val="ru-RU" w:eastAsia="ru-RU" w:bidi="uk-UA"/>
              </w:rPr>
            </w:pPr>
            <w:r w:rsidRPr="007A4D01">
              <w:rPr>
                <w:rFonts w:ascii="Arial" w:eastAsia="Times New Roman" w:hAnsi="Arial" w:cs="Arial"/>
                <w:color w:val="000000"/>
                <w:sz w:val="20"/>
                <w:szCs w:val="20"/>
                <w:lang w:val="ru-RU" w:eastAsia="ru-RU" w:bidi="uk-UA"/>
              </w:rPr>
              <w:t xml:space="preserve">Допускається випускати об’єднані експлуатаційні документи – інструкція з експлуатації об’єднана з паспортом. </w:t>
            </w:r>
          </w:p>
          <w:p w14:paraId="312FD059" w14:textId="77777777" w:rsidR="007A4D01" w:rsidRPr="007A4D01" w:rsidRDefault="007A4D01" w:rsidP="007A4D01">
            <w:pPr>
              <w:spacing w:after="0" w:line="240" w:lineRule="auto"/>
              <w:textAlignment w:val="baseline"/>
              <w:rPr>
                <w:rFonts w:ascii="Arial" w:eastAsia="Times New Roman" w:hAnsi="Arial" w:cs="Arial"/>
                <w:b/>
                <w:color w:val="000000"/>
                <w:sz w:val="20"/>
                <w:szCs w:val="20"/>
                <w:lang w:eastAsia="ru-RU"/>
              </w:rPr>
            </w:pPr>
            <w:r w:rsidRPr="007A4D01">
              <w:rPr>
                <w:rFonts w:ascii="Arial" w:eastAsia="Times New Roman" w:hAnsi="Arial" w:cs="Arial"/>
                <w:noProof/>
                <w:sz w:val="20"/>
                <w:szCs w:val="20"/>
                <w:lang w:eastAsia="uk-UA"/>
              </w:rPr>
              <w:drawing>
                <wp:inline distT="0" distB="0" distL="0" distR="0" wp14:anchorId="51EC2774" wp14:editId="6BB25EF6">
                  <wp:extent cx="1857277" cy="1347043"/>
                  <wp:effectExtent l="0" t="0" r="0" b="5715"/>
                  <wp:docPr id="2" name="Рисунок 2" descr="Металлоискатель Garrett Super Scanner V -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аллоискатель Garrett Super Scanner V - изображение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7027" cy="1368620"/>
                          </a:xfrm>
                          <a:prstGeom prst="rect">
                            <a:avLst/>
                          </a:prstGeom>
                          <a:noFill/>
                          <a:ln>
                            <a:noFill/>
                          </a:ln>
                        </pic:spPr>
                      </pic:pic>
                    </a:graphicData>
                  </a:graphic>
                </wp:inline>
              </w:drawing>
            </w:r>
          </w:p>
          <w:p w14:paraId="1258BBAE" w14:textId="77777777" w:rsidR="007A4D01" w:rsidRPr="007A4D01" w:rsidRDefault="007A4D01" w:rsidP="007A4D01">
            <w:pPr>
              <w:spacing w:after="0" w:line="240" w:lineRule="auto"/>
              <w:textAlignment w:val="baseline"/>
              <w:rPr>
                <w:rFonts w:ascii="Arial" w:eastAsia="Arial" w:hAnsi="Arial" w:cs="Arial"/>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4B16A" w14:textId="77777777" w:rsidR="007A4D01" w:rsidRPr="007A4D01" w:rsidRDefault="007A4D01" w:rsidP="007A4D01">
            <w:pPr>
              <w:spacing w:after="0" w:line="240" w:lineRule="auto"/>
              <w:ind w:right="-142"/>
              <w:jc w:val="center"/>
              <w:rPr>
                <w:rFonts w:ascii="Arial" w:eastAsia="Arial" w:hAnsi="Arial" w:cs="Arial"/>
                <w:color w:val="000000"/>
                <w:sz w:val="20"/>
                <w:szCs w:val="20"/>
                <w:lang w:val="en-US" w:eastAsia="ru-RU"/>
              </w:rPr>
            </w:pPr>
            <w:r w:rsidRPr="007A4D01">
              <w:rPr>
                <w:rFonts w:ascii="Arial" w:eastAsia="Arial" w:hAnsi="Arial" w:cs="Arial"/>
                <w:color w:val="000000"/>
                <w:sz w:val="20"/>
                <w:szCs w:val="20"/>
                <w:lang w:eastAsia="ru-RU"/>
              </w:rPr>
              <w:lastRenderedPageBreak/>
              <w:t>55</w:t>
            </w:r>
          </w:p>
        </w:tc>
      </w:tr>
    </w:tbl>
    <w:p w14:paraId="366C905F" w14:textId="77777777" w:rsidR="007A4D01" w:rsidRPr="007A4D01" w:rsidRDefault="007A4D01" w:rsidP="007A4D01">
      <w:pPr>
        <w:numPr>
          <w:ilvl w:val="0"/>
          <w:numId w:val="45"/>
        </w:numPr>
        <w:spacing w:after="200" w:line="276" w:lineRule="auto"/>
        <w:contextualSpacing/>
        <w:jc w:val="both"/>
        <w:rPr>
          <w:rFonts w:ascii="Arial" w:hAnsi="Arial" w:cs="Arial"/>
          <w:noProof/>
          <w:sz w:val="20"/>
          <w:szCs w:val="20"/>
          <w:lang w:val="ru-RU" w:eastAsia="uk-UA"/>
        </w:rPr>
      </w:pPr>
      <w:bookmarkStart w:id="9" w:name="_Hlk67567587"/>
      <w:r w:rsidRPr="007A4D01">
        <w:rPr>
          <w:rFonts w:ascii="Arial" w:hAnsi="Arial" w:cs="Arial"/>
          <w:noProof/>
          <w:sz w:val="20"/>
          <w:szCs w:val="20"/>
          <w:lang w:val="ru-RU" w:eastAsia="uk-UA"/>
        </w:rPr>
        <w:lastRenderedPageBreak/>
        <w:t>Товар, що є предметом закупівлі повинен бути новим (2023-2024 року виготовлення) і таким, що не був у використанні.</w:t>
      </w:r>
    </w:p>
    <w:p w14:paraId="7DEB4C59" w14:textId="77777777" w:rsidR="007A4D01" w:rsidRPr="007A4D01" w:rsidRDefault="007A4D01" w:rsidP="007A4D01">
      <w:pPr>
        <w:numPr>
          <w:ilvl w:val="0"/>
          <w:numId w:val="45"/>
        </w:numPr>
        <w:spacing w:after="200" w:line="276" w:lineRule="auto"/>
        <w:contextualSpacing/>
        <w:jc w:val="both"/>
        <w:rPr>
          <w:rFonts w:ascii="Arial" w:hAnsi="Arial" w:cs="Arial"/>
          <w:noProof/>
          <w:sz w:val="20"/>
          <w:szCs w:val="20"/>
          <w:lang w:val="ru-RU" w:eastAsia="uk-UA"/>
        </w:rPr>
      </w:pPr>
      <w:r w:rsidRPr="007A4D01">
        <w:rPr>
          <w:rFonts w:ascii="Arial" w:hAnsi="Arial" w:cs="Arial"/>
          <w:noProof/>
          <w:sz w:val="20"/>
          <w:szCs w:val="20"/>
          <w:lang w:val="ru-RU" w:eastAsia="uk-UA"/>
        </w:rPr>
        <w:t>Якість Товару повинна відповідати встановленим нормативними актами України вимогам щодо якості такого роду/виду товарів.</w:t>
      </w:r>
    </w:p>
    <w:p w14:paraId="46DCE93E" w14:textId="77777777" w:rsidR="007A4D01" w:rsidRPr="007A4D01" w:rsidRDefault="007A4D01" w:rsidP="007A4D01">
      <w:pPr>
        <w:numPr>
          <w:ilvl w:val="0"/>
          <w:numId w:val="45"/>
        </w:numPr>
        <w:spacing w:after="200" w:line="276" w:lineRule="auto"/>
        <w:contextualSpacing/>
        <w:jc w:val="both"/>
        <w:rPr>
          <w:rFonts w:ascii="Arial" w:hAnsi="Arial" w:cs="Arial"/>
          <w:noProof/>
          <w:sz w:val="20"/>
          <w:szCs w:val="20"/>
          <w:lang w:val="ru-RU" w:eastAsia="uk-UA"/>
        </w:rPr>
      </w:pPr>
      <w:r w:rsidRPr="007A4D01">
        <w:rPr>
          <w:rFonts w:ascii="Arial" w:hAnsi="Arial" w:cs="Arial"/>
          <w:noProof/>
          <w:sz w:val="20"/>
          <w:szCs w:val="20"/>
          <w:lang w:val="ru-RU" w:eastAsia="uk-UA"/>
        </w:rPr>
        <w:t xml:space="preserve">Строк протягом якого Учасник гарантує якість Товару (гарантійний строк) повинен становити не менше </w:t>
      </w:r>
      <w:r w:rsidRPr="007A4D01">
        <w:rPr>
          <w:rFonts w:ascii="Arial" w:hAnsi="Arial" w:cs="Arial"/>
          <w:noProof/>
          <w:sz w:val="20"/>
          <w:szCs w:val="20"/>
          <w:lang w:eastAsia="uk-UA"/>
        </w:rPr>
        <w:t>3</w:t>
      </w:r>
      <w:r w:rsidRPr="007A4D01">
        <w:rPr>
          <w:rFonts w:ascii="Arial" w:hAnsi="Arial" w:cs="Arial"/>
          <w:noProof/>
          <w:sz w:val="20"/>
          <w:szCs w:val="20"/>
          <w:lang w:val="ru-RU" w:eastAsia="uk-UA"/>
        </w:rPr>
        <w:t xml:space="preserve"> років з дати поставки, що підтверджується гарантіями виробника.</w:t>
      </w:r>
    </w:p>
    <w:p w14:paraId="23ECD38E" w14:textId="77777777" w:rsidR="007A4D01" w:rsidRPr="007A4D01" w:rsidRDefault="007A4D01" w:rsidP="007A4D01">
      <w:pPr>
        <w:numPr>
          <w:ilvl w:val="0"/>
          <w:numId w:val="45"/>
        </w:numPr>
        <w:spacing w:after="200" w:line="276" w:lineRule="auto"/>
        <w:contextualSpacing/>
        <w:jc w:val="both"/>
        <w:rPr>
          <w:rFonts w:ascii="Arial" w:hAnsi="Arial" w:cs="Arial"/>
          <w:noProof/>
          <w:sz w:val="20"/>
          <w:szCs w:val="20"/>
          <w:lang w:val="ru-RU" w:eastAsia="uk-UA"/>
        </w:rPr>
      </w:pPr>
      <w:r w:rsidRPr="007A4D01">
        <w:rPr>
          <w:rFonts w:ascii="Arial" w:hAnsi="Arial" w:cs="Arial"/>
          <w:noProof/>
          <w:sz w:val="20"/>
          <w:szCs w:val="20"/>
          <w:lang w:val="ru-RU" w:eastAsia="uk-UA"/>
        </w:rPr>
        <w:t>Товар повинен відповідати встановленим/зареєстрованим нормативним актам України (державним стандартам (технічним умовам)), які передбачають застосування заходів із захисту довкілля,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w:t>
      </w:r>
    </w:p>
    <w:bookmarkEnd w:id="9"/>
    <w:p w14:paraId="4F7CB4DE" w14:textId="77777777" w:rsidR="007A4D01" w:rsidRPr="007A4D01" w:rsidRDefault="007A4D01" w:rsidP="007A4D01">
      <w:pPr>
        <w:numPr>
          <w:ilvl w:val="0"/>
          <w:numId w:val="45"/>
        </w:numPr>
        <w:spacing w:after="200" w:line="276" w:lineRule="auto"/>
        <w:contextualSpacing/>
        <w:jc w:val="both"/>
        <w:rPr>
          <w:rFonts w:ascii="Arial" w:hAnsi="Arial" w:cs="Arial"/>
          <w:sz w:val="20"/>
          <w:szCs w:val="20"/>
          <w:lang w:eastAsia="uk-UA"/>
        </w:rPr>
      </w:pPr>
      <w:r w:rsidRPr="007A4D01">
        <w:rPr>
          <w:rFonts w:ascii="Arial" w:hAnsi="Arial" w:cs="Arial"/>
          <w:noProof/>
          <w:sz w:val="20"/>
          <w:szCs w:val="20"/>
          <w:lang w:val="ru-RU" w:eastAsia="uk-UA"/>
        </w:rPr>
        <w:t xml:space="preserve">Учасник визначає ціну з урахуванням всіх витрат на транспортування, матеріальні витрати, завантаження, розвантаження, зберігання, сплату митних тарифів, наявність сертифікатів, тощо. </w:t>
      </w:r>
      <w:r w:rsidRPr="007A4D01">
        <w:rPr>
          <w:rFonts w:ascii="Arial" w:hAnsi="Arial" w:cs="Arial"/>
          <w:sz w:val="20"/>
          <w:szCs w:val="20"/>
          <w:lang w:eastAsia="uk-UA"/>
        </w:rPr>
        <w:t>Вартість предмету закупівлі включає всі витрати Учасника, пов’язані з виконанням зобов’язань Учасника по виконанню договору, у т.ч. товарно-транспортні витрати.</w:t>
      </w:r>
    </w:p>
    <w:p w14:paraId="7E339105"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 xml:space="preserve">Учасник повинен гарантувати якість товару, що постачається Замовнику за Договором (гарантії діють протягом всього встановленого строку, при умові дотримання Покупцем умов зберігання та використання, зазначених на упаковці та документації до товару). </w:t>
      </w:r>
    </w:p>
    <w:p w14:paraId="1B4F6DFF"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Поставка товару має супроводжуватися документами (рахунками, накладними, документами, які засвідчують якість та безпеку).</w:t>
      </w:r>
    </w:p>
    <w:p w14:paraId="513B88CE"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 xml:space="preserve">Доставка товарів </w:t>
      </w:r>
      <w:r w:rsidRPr="007A4D01">
        <w:rPr>
          <w:rFonts w:ascii="Arial" w:hAnsi="Arial" w:cs="Arial"/>
          <w:bCs/>
          <w:sz w:val="20"/>
          <w:szCs w:val="20"/>
        </w:rPr>
        <w:t xml:space="preserve">на адресу Замовника </w:t>
      </w:r>
      <w:r w:rsidRPr="007A4D01">
        <w:rPr>
          <w:rFonts w:ascii="Arial" w:hAnsi="Arial" w:cs="Arial"/>
          <w:sz w:val="20"/>
          <w:szCs w:val="20"/>
        </w:rPr>
        <w:t>транспортом постачальника, завантажувально-розвантажувальні роботи за рахунок постачальника.</w:t>
      </w:r>
    </w:p>
    <w:p w14:paraId="73FC3760" w14:textId="77777777" w:rsidR="007A4D01" w:rsidRPr="007A4D01" w:rsidRDefault="007A4D01" w:rsidP="007A4D01">
      <w:pPr>
        <w:numPr>
          <w:ilvl w:val="0"/>
          <w:numId w:val="45"/>
        </w:numPr>
        <w:spacing w:after="200" w:line="276" w:lineRule="auto"/>
        <w:contextualSpacing/>
        <w:jc w:val="both"/>
        <w:rPr>
          <w:rFonts w:ascii="Arial" w:hAnsi="Arial" w:cs="Arial"/>
          <w:noProof/>
          <w:sz w:val="20"/>
          <w:szCs w:val="20"/>
          <w:lang w:eastAsia="uk-UA"/>
        </w:rPr>
      </w:pPr>
      <w:r w:rsidRPr="007A4D01">
        <w:rPr>
          <w:rFonts w:ascii="Arial" w:hAnsi="Arial" w:cs="Arial"/>
          <w:sz w:val="20"/>
          <w:szCs w:val="20"/>
        </w:rPr>
        <w:t>Разом з товаром надаються відповідні документи - інструкції, паспорт, сертифікат та інше.</w:t>
      </w:r>
      <w:r w:rsidRPr="007A4D01">
        <w:rPr>
          <w:rFonts w:ascii="Arial" w:hAnsi="Arial" w:cs="Arial"/>
          <w:sz w:val="20"/>
          <w:szCs w:val="20"/>
          <w:lang w:val="ru-RU"/>
        </w:rPr>
        <w:t xml:space="preserve"> </w:t>
      </w:r>
      <w:r w:rsidRPr="007A4D01">
        <w:rPr>
          <w:rFonts w:ascii="Arial" w:hAnsi="Arial" w:cs="Arial"/>
          <w:noProof/>
          <w:sz w:val="20"/>
          <w:szCs w:val="20"/>
          <w:lang w:eastAsia="uk-UA"/>
        </w:rPr>
        <w:t>Сертифікат відповідності на запропонований товар (для продукції, яка віднесена до Переліку продукції, що підлягає обов’язковій сертифікації в Україні).</w:t>
      </w:r>
    </w:p>
    <w:p w14:paraId="2DE55756"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Для підтвердження походження Товару Учасник надає копії документів про походження товару та офіційний імпорт на територію України (митна декларація).</w:t>
      </w:r>
    </w:p>
    <w:p w14:paraId="525442A7"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Копію декларації про відповідність вимогам стандарту Mil-Std-810F (тест на падіння), метод 516.5, процедури II.</w:t>
      </w:r>
    </w:p>
    <w:p w14:paraId="058DD44B"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Учасник повинен підтвердити наявність сервісного центру, який забезпечить гарантійну підтримку обладнання протягом визначеного гарантійного терміну в Україні, шляхом надання довідки з конкретною назвою, адресою і контактним телефоном такого центру у складі пропозиції. Доставка устаткування в сервісний центр або уповноваженому представнику для ремонту буде виконуватися силами і за рахунок Учасника. На підтвердження даної вимоги учасник в складі Пропозиції повинен надати:</w:t>
      </w:r>
    </w:p>
    <w:p w14:paraId="2D15E9A2"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 лист від виробника та/або офіційного дистриб’ютора запропонованого учасником обладнання в якому зазначено, що учасник торгів має право виконувати сервісне обслуговування запропонованого обладнання. Статус офіційного дистриб’ютора необхідно підтвердити листом від виробника, який необхідно надати в складі Пропозиції.</w:t>
      </w:r>
    </w:p>
    <w:p w14:paraId="3CB0C205"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 xml:space="preserve">Учасникам в складі Пропозиції необхідно надати оригінал або копію авторизаційних листів від виробників та/або офіційних дистриб’юторів, запропонованого Учасником обладнання, з </w:t>
      </w:r>
      <w:r w:rsidRPr="007A4D01">
        <w:rPr>
          <w:rFonts w:ascii="Arial" w:hAnsi="Arial" w:cs="Arial"/>
          <w:sz w:val="20"/>
          <w:szCs w:val="20"/>
        </w:rPr>
        <w:lastRenderedPageBreak/>
        <w:t>зазначенням найменування Замовника, номера тендеру в системі публічних закупівель, назви та юридичної адреси учасника. Лист повинен бути чинним на кінцеву дату подання тендерних пропозицій.</w:t>
      </w:r>
    </w:p>
    <w:p w14:paraId="64100F4F"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Копію декларації щодо відповідності вимогам ICNIRP/ISO 14117 – безпека кардіостимуляторів, вагітності та загального впливу на людину;</w:t>
      </w:r>
    </w:p>
    <w:p w14:paraId="57282D34"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bookmarkStart w:id="10" w:name="_Hlk162854086"/>
      <w:r w:rsidRPr="007A4D01">
        <w:rPr>
          <w:rFonts w:ascii="Arial" w:hAnsi="Arial" w:cs="Arial"/>
          <w:sz w:val="20"/>
          <w:szCs w:val="20"/>
        </w:rPr>
        <w:t xml:space="preserve">Копію декларації </w:t>
      </w:r>
      <w:bookmarkEnd w:id="10"/>
      <w:r w:rsidRPr="007A4D01">
        <w:rPr>
          <w:rFonts w:ascii="Arial" w:hAnsi="Arial" w:cs="Arial"/>
          <w:sz w:val="20"/>
          <w:szCs w:val="20"/>
        </w:rPr>
        <w:t>щодо відповідності стандарту IEEE щодо рівнів безпеки щодо впливу на людину до радіочастотних електромагнітних полів, від 3 кГц до 300 ГГц;</w:t>
      </w:r>
    </w:p>
    <w:p w14:paraId="3B5B061F"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Копію чинного сертифікату на систему управління якості ДСТУ ISO 9001:2008 (ISO 9001:2008 )  для проектування, виробництва, продаж, дистрибуції та обслуговування металодетекторів для безпеки, промисловості, військового і споживчого ринків;</w:t>
      </w:r>
    </w:p>
    <w:p w14:paraId="2E06B21F" w14:textId="77777777" w:rsidR="007A4D01" w:rsidRPr="007A4D01" w:rsidRDefault="007A4D01" w:rsidP="007A4D01">
      <w:pPr>
        <w:numPr>
          <w:ilvl w:val="0"/>
          <w:numId w:val="45"/>
        </w:numPr>
        <w:spacing w:after="200" w:line="276" w:lineRule="auto"/>
        <w:contextualSpacing/>
        <w:jc w:val="both"/>
        <w:rPr>
          <w:rFonts w:ascii="Arial" w:hAnsi="Arial" w:cs="Arial"/>
          <w:sz w:val="20"/>
          <w:szCs w:val="20"/>
        </w:rPr>
      </w:pPr>
      <w:r w:rsidRPr="007A4D01">
        <w:rPr>
          <w:rFonts w:ascii="Arial" w:hAnsi="Arial" w:cs="Arial"/>
          <w:sz w:val="20"/>
          <w:szCs w:val="20"/>
        </w:rPr>
        <w:t>Висновок нayкoвoї санiтарно-епiдемiологiчної експертизи на відповідність санітарному законодавству України</w:t>
      </w:r>
    </w:p>
    <w:p w14:paraId="15BC43F6" w14:textId="77777777" w:rsidR="00200CBA" w:rsidRPr="007B521B" w:rsidRDefault="00200CBA" w:rsidP="00200CBA">
      <w:pPr>
        <w:pStyle w:val="a5"/>
        <w:suppressAutoHyphens/>
        <w:jc w:val="both"/>
        <w:rPr>
          <w:rFonts w:ascii="Times New Roman" w:hAnsi="Times New Roman"/>
        </w:rPr>
      </w:pP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6D0BA5E5" w14:textId="77777777"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7048975" w14:textId="012D987B" w:rsidR="004008E5" w:rsidRPr="00FA4708" w:rsidRDefault="00FA4708" w:rsidP="00FA4708">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191593F0" w14:textId="527414D9" w:rsidR="005F758B" w:rsidRDefault="005F758B"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A50A824" w14:textId="23491AA9"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469083CF" w14:textId="4759175D"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FE23615" w14:textId="3DFFF733"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BB26B6" w14:textId="5438A71F"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C702A1A" w14:textId="3785B211"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F0D114A" w14:textId="35837BCA"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030D318" w14:textId="562401BD"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3E6381A2" w14:textId="1825DF2E"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7FEFA167" w14:textId="2377B296" w:rsidR="00AF6B7A"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0F02A3D5" w14:textId="029CD805" w:rsidR="00244211" w:rsidRDefault="00244211" w:rsidP="0042202B">
      <w:pPr>
        <w:keepNext/>
        <w:tabs>
          <w:tab w:val="left" w:pos="720"/>
        </w:tabs>
        <w:spacing w:after="0" w:line="240" w:lineRule="auto"/>
        <w:rPr>
          <w:rFonts w:ascii="Times New Roman" w:eastAsia="Times New Roman" w:hAnsi="Times New Roman" w:cs="Times New Roman"/>
          <w:b/>
          <w:sz w:val="24"/>
          <w:szCs w:val="24"/>
          <w:lang w:eastAsia="uk-UA"/>
        </w:rPr>
      </w:pPr>
    </w:p>
    <w:p w14:paraId="5617DA48" w14:textId="4F3FAC31"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777BBDA9" w14:textId="2C6C9D44"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5DDA04EE" w14:textId="42BBFEA8"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41255B1B" w14:textId="486038A9"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E6A8A1B" w14:textId="123C537D"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F5B98E2" w14:textId="196DB1EF"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04FCFBB" w14:textId="58DF0907"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F6A3C63" w14:textId="4F82E0AA"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038FDACC" w14:textId="51519425" w:rsidR="007A4D01" w:rsidRDefault="007A4D0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97F2035" w14:textId="579C521C"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06CF0B" w14:textId="1D351F68"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1A029CF8" w14:textId="0B24EDF9"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2CA0F73" w14:textId="360ECCBD"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0EA95241" w14:textId="082A5279" w:rsidR="00C9109D" w:rsidRDefault="00C9109D" w:rsidP="0042202B">
      <w:pPr>
        <w:keepNext/>
        <w:tabs>
          <w:tab w:val="left" w:pos="720"/>
        </w:tabs>
        <w:spacing w:after="0" w:line="240" w:lineRule="auto"/>
        <w:rPr>
          <w:rFonts w:ascii="Times New Roman" w:eastAsia="Times New Roman" w:hAnsi="Times New Roman" w:cs="Times New Roman"/>
          <w:b/>
          <w:sz w:val="24"/>
          <w:szCs w:val="24"/>
          <w:lang w:eastAsia="uk-UA"/>
        </w:rPr>
      </w:pPr>
    </w:p>
    <w:p w14:paraId="2688BE75" w14:textId="1573793C"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11"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11"/>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6450477" w14:textId="6F7321F0"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2EE9DF09" w14:textId="612CC1D5"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12"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12"/>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0A2DAC1A" w:rsidR="00124609" w:rsidRPr="007E55CB"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7A4D01">
        <w:rPr>
          <w:rFonts w:ascii="Times New Roman" w:hAnsi="Times New Roman" w:cs="Times New Roman"/>
          <w:sz w:val="24"/>
          <w:szCs w:val="24"/>
          <w:lang w:eastAsia="ru-RU"/>
        </w:rPr>
        <w:t>ДК 021:2015: 35120000-1 — Системи та пристрої нагляду та охорони (Ручний оглядовий металодетектор)</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3" w:name="%D0%A1%D1%83%D0%BC%D0%BC%D0%B01"/>
      <w:bookmarkEnd w:id="13"/>
      <w:r w:rsidRPr="00124609">
        <w:rPr>
          <w:rFonts w:ascii="Times New Roman" w:eastAsia="Times New Roman" w:hAnsi="Times New Roman" w:cs="Times New Roman"/>
          <w:sz w:val="24"/>
          <w:szCs w:val="24"/>
        </w:rPr>
        <w:t>_______________ гривень (</w:t>
      </w:r>
      <w:bookmarkStart w:id="14" w:name="%D0%A1%D1%83%D0%BC%D0%BC%D0%B01%D0%9F%D1"/>
      <w:bookmarkEnd w:id="14"/>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53D4A21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54CBB">
        <w:rPr>
          <w:rFonts w:ascii="Times New Roman" w:hAnsi="Times New Roman"/>
          <w:b/>
        </w:rPr>
        <w:t>до 25</w:t>
      </w:r>
      <w:bookmarkStart w:id="15" w:name="_GoBack"/>
      <w:bookmarkEnd w:id="15"/>
      <w:r w:rsidR="008E3837" w:rsidRPr="004008E5">
        <w:rPr>
          <w:rFonts w:ascii="Times New Roman" w:hAnsi="Times New Roman"/>
          <w:b/>
        </w:rPr>
        <w:t>.</w:t>
      </w:r>
      <w:r w:rsidR="007A4D01">
        <w:rPr>
          <w:rFonts w:ascii="Times New Roman" w:hAnsi="Times New Roman"/>
          <w:b/>
        </w:rPr>
        <w:t>04</w:t>
      </w:r>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22703ECB"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5043D51D"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440A3ED4"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27DFEE2F"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8985353"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EF90FD8"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0500D922" w:rsidR="00124609" w:rsidRPr="00124609" w:rsidRDefault="0014110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1283C723" w:rsidR="00124609" w:rsidRDefault="00141105"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04B9BB9"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FA4708">
        <w:rPr>
          <w:rFonts w:ascii="Times New Roman" w:eastAsia="Times New Roman" w:hAnsi="Times New Roman" w:cs="Times New Roman"/>
          <w:sz w:val="24"/>
          <w:szCs w:val="24"/>
        </w:rPr>
        <w:t>3</w:t>
      </w:r>
      <w:r w:rsidR="004008E5">
        <w:rPr>
          <w:rFonts w:ascii="Times New Roman" w:eastAsia="Times New Roman" w:hAnsi="Times New Roman" w:cs="Times New Roman"/>
          <w:sz w:val="24"/>
          <w:szCs w:val="24"/>
        </w:rPr>
        <w:t>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1"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9" w:name="112"/>
      <w:bookmarkEnd w:id="19"/>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7DDE" w14:textId="77777777" w:rsidR="00B850F1" w:rsidRDefault="00B850F1">
      <w:pPr>
        <w:spacing w:after="0" w:line="240" w:lineRule="auto"/>
      </w:pPr>
      <w:r>
        <w:separator/>
      </w:r>
    </w:p>
  </w:endnote>
  <w:endnote w:type="continuationSeparator" w:id="0">
    <w:p w14:paraId="2A7AB201" w14:textId="77777777" w:rsidR="00B850F1" w:rsidRDefault="00B8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4BB89BF5"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4CBB">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3215" w14:textId="77777777" w:rsidR="00B850F1" w:rsidRDefault="00B850F1">
      <w:pPr>
        <w:spacing w:after="0" w:line="240" w:lineRule="auto"/>
      </w:pPr>
      <w:r>
        <w:separator/>
      </w:r>
    </w:p>
  </w:footnote>
  <w:footnote w:type="continuationSeparator" w:id="0">
    <w:p w14:paraId="53FCAF59" w14:textId="77777777" w:rsidR="00B850F1" w:rsidRDefault="00B85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9437D9B"/>
    <w:multiLevelType w:val="hybridMultilevel"/>
    <w:tmpl w:val="E256B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1"/>
  </w:num>
  <w:num w:numId="17">
    <w:abstractNumId w:val="16"/>
  </w:num>
  <w:num w:numId="18">
    <w:abstractNumId w:val="15"/>
  </w:num>
  <w:num w:numId="19">
    <w:abstractNumId w:val="5"/>
  </w:num>
  <w:num w:numId="20">
    <w:abstractNumId w:val="35"/>
  </w:num>
  <w:num w:numId="21">
    <w:abstractNumId w:val="28"/>
  </w:num>
  <w:num w:numId="22">
    <w:abstractNumId w:val="42"/>
  </w:num>
  <w:num w:numId="23">
    <w:abstractNumId w:val="19"/>
  </w:num>
  <w:num w:numId="24">
    <w:abstractNumId w:val="38"/>
  </w:num>
  <w:num w:numId="25">
    <w:abstractNumId w:val="23"/>
  </w:num>
  <w:num w:numId="26">
    <w:abstractNumId w:val="13"/>
  </w:num>
  <w:num w:numId="27">
    <w:abstractNumId w:val="8"/>
  </w:num>
  <w:num w:numId="28">
    <w:abstractNumId w:val="25"/>
  </w:num>
  <w:num w:numId="29">
    <w:abstractNumId w:val="26"/>
  </w:num>
  <w:num w:numId="30">
    <w:abstractNumId w:val="40"/>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2"/>
  </w:num>
  <w:num w:numId="39">
    <w:abstractNumId w:val="41"/>
  </w:num>
  <w:num w:numId="40">
    <w:abstractNumId w:val="18"/>
  </w:num>
  <w:num w:numId="41">
    <w:abstractNumId w:val="12"/>
  </w:num>
  <w:num w:numId="42">
    <w:abstractNumId w:val="21"/>
  </w:num>
  <w:num w:numId="43">
    <w:abstractNumId w:val="6"/>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960EF"/>
    <w:rsid w:val="00124609"/>
    <w:rsid w:val="00141105"/>
    <w:rsid w:val="0015609F"/>
    <w:rsid w:val="00180D20"/>
    <w:rsid w:val="001A2DC0"/>
    <w:rsid w:val="001B676A"/>
    <w:rsid w:val="001E215A"/>
    <w:rsid w:val="001E3923"/>
    <w:rsid w:val="00200CBA"/>
    <w:rsid w:val="0023123F"/>
    <w:rsid w:val="00244211"/>
    <w:rsid w:val="00252D87"/>
    <w:rsid w:val="00262252"/>
    <w:rsid w:val="00287229"/>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4E640F"/>
    <w:rsid w:val="005078BC"/>
    <w:rsid w:val="005157D1"/>
    <w:rsid w:val="00524FA2"/>
    <w:rsid w:val="005600F8"/>
    <w:rsid w:val="00593957"/>
    <w:rsid w:val="005C57D1"/>
    <w:rsid w:val="005F718B"/>
    <w:rsid w:val="005F758B"/>
    <w:rsid w:val="00616BE4"/>
    <w:rsid w:val="006178A0"/>
    <w:rsid w:val="00641F88"/>
    <w:rsid w:val="0064430E"/>
    <w:rsid w:val="0066302D"/>
    <w:rsid w:val="00692BCD"/>
    <w:rsid w:val="006D2112"/>
    <w:rsid w:val="006F1295"/>
    <w:rsid w:val="00753529"/>
    <w:rsid w:val="00761668"/>
    <w:rsid w:val="007651D1"/>
    <w:rsid w:val="007954A7"/>
    <w:rsid w:val="007A18B9"/>
    <w:rsid w:val="007A4D01"/>
    <w:rsid w:val="007E55CB"/>
    <w:rsid w:val="007E7E9E"/>
    <w:rsid w:val="008076BB"/>
    <w:rsid w:val="00807AEF"/>
    <w:rsid w:val="0081254F"/>
    <w:rsid w:val="008240A0"/>
    <w:rsid w:val="00830DC2"/>
    <w:rsid w:val="008339C8"/>
    <w:rsid w:val="0083600F"/>
    <w:rsid w:val="00846625"/>
    <w:rsid w:val="00854CBB"/>
    <w:rsid w:val="008901BA"/>
    <w:rsid w:val="00897CC5"/>
    <w:rsid w:val="008C4731"/>
    <w:rsid w:val="008E3837"/>
    <w:rsid w:val="008F2EA5"/>
    <w:rsid w:val="00947D3B"/>
    <w:rsid w:val="0095623D"/>
    <w:rsid w:val="00956BA7"/>
    <w:rsid w:val="00984623"/>
    <w:rsid w:val="009B1355"/>
    <w:rsid w:val="009D0BAA"/>
    <w:rsid w:val="009F12B9"/>
    <w:rsid w:val="00A214FC"/>
    <w:rsid w:val="00A415C5"/>
    <w:rsid w:val="00A415FB"/>
    <w:rsid w:val="00A50DD0"/>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84ACD"/>
    <w:rsid w:val="00B850F1"/>
    <w:rsid w:val="00BD4A4D"/>
    <w:rsid w:val="00BE5192"/>
    <w:rsid w:val="00C50A57"/>
    <w:rsid w:val="00C6026E"/>
    <w:rsid w:val="00C9109D"/>
    <w:rsid w:val="00C96562"/>
    <w:rsid w:val="00CC25C5"/>
    <w:rsid w:val="00CE173A"/>
    <w:rsid w:val="00CE76E0"/>
    <w:rsid w:val="00CF50A9"/>
    <w:rsid w:val="00D24215"/>
    <w:rsid w:val="00D31381"/>
    <w:rsid w:val="00D36438"/>
    <w:rsid w:val="00D6369D"/>
    <w:rsid w:val="00D86024"/>
    <w:rsid w:val="00DC3735"/>
    <w:rsid w:val="00DE0BEC"/>
    <w:rsid w:val="00E50500"/>
    <w:rsid w:val="00E71E9A"/>
    <w:rsid w:val="00EA3593"/>
    <w:rsid w:val="00EB2F3B"/>
    <w:rsid w:val="00EC17BC"/>
    <w:rsid w:val="00ED5F83"/>
    <w:rsid w:val="00ED7E49"/>
    <w:rsid w:val="00EE7E9C"/>
    <w:rsid w:val="00EF249F"/>
    <w:rsid w:val="00F01DB1"/>
    <w:rsid w:val="00F50BA9"/>
    <w:rsid w:val="00FA18C9"/>
    <w:rsid w:val="00FA4708"/>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BFFE34-EF46-4198-98D7-63B5481A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63373</Words>
  <Characters>36123</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9</cp:revision>
  <dcterms:created xsi:type="dcterms:W3CDTF">2024-03-22T13:50:00Z</dcterms:created>
  <dcterms:modified xsi:type="dcterms:W3CDTF">2024-04-02T07:27:00Z</dcterms:modified>
</cp:coreProperties>
</file>