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rPr>
        <w:t>02</w:t>
      </w:r>
      <w:r>
        <w:rPr>
          <w:rFonts w:eastAsia="Times New Roman" w:cs="Times New Roman" w:ascii="Times New Roman" w:hAnsi="Times New Roman"/>
          <w:b/>
          <w:bCs/>
          <w:sz w:val="24"/>
          <w:szCs w:val="24"/>
        </w:rPr>
        <w:t>.0</w:t>
      </w:r>
      <w:r>
        <w:rPr>
          <w:rFonts w:eastAsia="Times New Roman" w:cs="Times New Roman" w:ascii="Times New Roman" w:hAnsi="Times New Roman"/>
          <w:b/>
          <w:bCs/>
          <w:sz w:val="24"/>
          <w:szCs w:val="24"/>
        </w:rPr>
        <w:t>8</w:t>
      </w:r>
      <w:r>
        <w:rPr>
          <w:rFonts w:eastAsia="Times New Roman" w:cs="Times New Roman" w:ascii="Times New Roman" w:hAnsi="Times New Roman"/>
          <w:b/>
          <w:bCs/>
          <w:sz w:val="24"/>
          <w:szCs w:val="24"/>
        </w:rPr>
        <w:t>.2023 р. Протокол № 2</w:t>
      </w:r>
      <w:r>
        <w:rPr>
          <w:rFonts w:eastAsia="Times New Roman" w:cs="Times New Roman" w:ascii="Times New Roman" w:hAnsi="Times New Roman"/>
          <w:b/>
          <w:bCs/>
          <w:sz w:val="24"/>
          <w:szCs w:val="24"/>
        </w:rPr>
        <w:t>62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cs="Times New Roman"/>
          <w:b/>
          <w:b/>
          <w:bCs/>
          <w:sz w:val="32"/>
          <w:szCs w:val="32"/>
          <w:shd w:fill="FFFFFF" w:val="clear"/>
          <w:lang w:eastAsia="ar-SA"/>
        </w:rPr>
      </w:pPr>
      <w:r>
        <w:rPr>
          <w:rFonts w:cs="Times New Roman" w:ascii="Times New Roman" w:hAnsi="Times New Roman"/>
          <w:b/>
          <w:bCs/>
          <w:sz w:val="32"/>
          <w:szCs w:val="32"/>
          <w:shd w:fill="FFFFFF" w:val="clear"/>
          <w:lang w:eastAsia="ar-SA"/>
        </w:rPr>
        <w:t>Жорсткий диск (зовнішній), придбання якого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ДК 021:2015 - 30230000-0 — «Комп’ютерне обладнання»</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7"/>
        <w:gridCol w:w="6458"/>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8"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Жорсткий диск (зовнішній), придбання якого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 Маріуполь»</w:t>
            </w:r>
          </w:p>
          <w:p>
            <w:pPr>
              <w:pStyle w:val="Normal"/>
              <w:widowControl w:val="false"/>
              <w:spacing w:before="0" w:after="160"/>
              <w:ind w:left="15" w:hanging="0"/>
              <w:jc w:val="both"/>
              <w:rPr/>
            </w:pPr>
            <w:r>
              <w:rPr>
                <w:rFonts w:cs="Times New Roman" w:ascii="Times New Roman" w:hAnsi="Times New Roman"/>
                <w:sz w:val="24"/>
                <w:szCs w:val="24"/>
              </w:rPr>
              <w:t>Код CPV за ДК 021:2015 - 30230000-0 — «Комп’ютерне обладнання»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- 02000, м. </w:t>
            </w:r>
            <w:r>
              <w:rPr>
                <w:rFonts w:cs="Times New Roman" w:ascii="Times New Roman" w:hAnsi="Times New Roman"/>
                <w:sz w:val="24"/>
                <w:shd w:fill="FFFFFF" w:val="clear"/>
              </w:rPr>
              <w:t>Київ</w:t>
            </w:r>
            <w:r>
              <w:rPr>
                <w:rFonts w:cs="Times New Roman" w:ascii="Times New Roman" w:hAnsi="Times New Roman"/>
                <w:sz w:val="24"/>
                <w:shd w:fill="FFFFFF" w:val="clear"/>
              </w:rPr>
              <w:t>, вул. Антоновича, 39</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color w:val="000000"/>
                <w:sz w:val="24"/>
                <w:shd w:fill="FFFFFF" w:val="clear"/>
              </w:rPr>
              <w:t>3</w:t>
            </w:r>
            <w:r>
              <w:rPr>
                <w:rFonts w:cs="Times New Roman" w:ascii="Times New Roman" w:hAnsi="Times New Roman"/>
                <w:sz w:val="24"/>
                <w:shd w:fill="FFFFFF" w:val="clear"/>
              </w:rPr>
              <w:t xml:space="preserve"> шт.</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8"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 xml:space="preserve">До </w:t>
            </w:r>
            <w:r>
              <w:rPr>
                <w:rFonts w:cs="Times New Roman" w:ascii="Times New Roman" w:hAnsi="Times New Roman"/>
                <w:b/>
                <w:bCs/>
                <w:sz w:val="24"/>
                <w:u w:val="single"/>
                <w:shd w:fill="FFFFFF" w:val="clear"/>
                <w:lang w:val="uk-UA"/>
              </w:rPr>
              <w:t>30</w:t>
            </w:r>
            <w:r>
              <w:rPr>
                <w:rFonts w:cs="Times New Roman" w:ascii="Times New Roman" w:hAnsi="Times New Roman"/>
                <w:b/>
                <w:bCs/>
                <w:sz w:val="24"/>
                <w:u w:val="single"/>
                <w:shd w:fill="FFFFFF" w:val="clear"/>
                <w:lang w:val="uk-UA"/>
              </w:rPr>
              <w:t>.0</w:t>
            </w:r>
            <w:r>
              <w:rPr>
                <w:rFonts w:cs="Times New Roman" w:ascii="Times New Roman" w:hAnsi="Times New Roman"/>
                <w:b/>
                <w:bCs/>
                <w:sz w:val="24"/>
                <w:u w:val="single"/>
                <w:shd w:fill="FFFFFF" w:val="clear"/>
                <w:lang w:val="uk-UA"/>
              </w:rPr>
              <w:t>8</w:t>
            </w:r>
            <w:r>
              <w:rPr>
                <w:rFonts w:cs="Times New Roman" w:ascii="Times New Roman" w:hAnsi="Times New Roman"/>
                <w:b/>
                <w:bCs/>
                <w:sz w:val="24"/>
                <w:u w:val="single"/>
                <w:shd w:fill="FFFFFF" w:val="clear"/>
                <w:lang w:val="uk-UA"/>
              </w:rPr>
              <w:t>.2023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8"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9</w:t>
            </w:r>
            <w:r>
              <w:rPr>
                <w:rFonts w:cs="Times New Roman" w:ascii="Times New Roman" w:hAnsi="Times New Roman"/>
                <w:sz w:val="24"/>
                <w:shd w:fill="FFFFFF" w:val="clear"/>
                <w:lang w:val="uk-UA"/>
              </w:rPr>
              <w:t xml:space="preserve">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8"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10</w:t>
            </w:r>
            <w:r>
              <w:rPr>
                <w:rFonts w:eastAsia="Times New Roman" w:cs="Times New Roman" w:ascii="Times New Roman" w:hAnsi="Times New Roman"/>
                <w:b/>
                <w:sz w:val="24"/>
                <w:szCs w:val="24"/>
              </w:rPr>
              <w:t>.08.2023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8"/>
        <w:gridCol w:w="42"/>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highlight w:val="yellow"/>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lang w:val="en-US"/>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Pr>
                <w:rFonts w:cs="Times New Roman" w:ascii="Times New Roman" w:hAnsi="Times New Roman"/>
                <w:sz w:val="24"/>
                <w:shd w:fill="FFFFFF" w:val="clear"/>
                <w:lang w:val="ru-RU" w:eastAsia="ar-SA"/>
              </w:rPr>
              <w:t xml:space="preserve"> </w:t>
            </w: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33"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2"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Application>LibreOffice/7.4.2.3$Windows_X86_64 LibreOffice_project/382eef1f22670f7f4118c8c2dd222ec7ad009daf</Application>
  <AppVersion>15.0000</AppVersion>
  <Pages>37</Pages>
  <Words>9520</Words>
  <Characters>65563</Characters>
  <CharactersWithSpaces>74972</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2023-08-02T13:13:56Z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