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0F3E37CD"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491580">
        <w:rPr>
          <w:rFonts w:ascii="Times New Roman" w:eastAsia="Times New Roman" w:hAnsi="Times New Roman" w:cs="Times New Roman"/>
          <w:b/>
          <w:bCs/>
          <w:sz w:val="24"/>
          <w:szCs w:val="24"/>
          <w:lang w:eastAsia="uk-UA" w:bidi="uk-UA"/>
        </w:rPr>
        <w:t>2</w:t>
      </w:r>
      <w:r w:rsidR="00985184">
        <w:rPr>
          <w:rFonts w:ascii="Times New Roman" w:eastAsia="Times New Roman" w:hAnsi="Times New Roman" w:cs="Times New Roman"/>
          <w:b/>
          <w:bCs/>
          <w:sz w:val="24"/>
          <w:szCs w:val="24"/>
          <w:lang w:val="en-US" w:eastAsia="uk-UA" w:bidi="uk-UA"/>
        </w:rPr>
        <w:t>80</w:t>
      </w:r>
      <w:r w:rsidRPr="00BD395E">
        <w:rPr>
          <w:rFonts w:ascii="Times New Roman" w:eastAsia="Times New Roman" w:hAnsi="Times New Roman" w:cs="Times New Roman"/>
          <w:b/>
          <w:bCs/>
          <w:sz w:val="24"/>
          <w:szCs w:val="24"/>
          <w:lang w:eastAsia="uk-UA" w:bidi="uk-UA"/>
        </w:rPr>
        <w:t xml:space="preserve">  від « </w:t>
      </w:r>
      <w:r w:rsidR="003C4DEC">
        <w:rPr>
          <w:rFonts w:ascii="Times New Roman" w:eastAsia="Times New Roman" w:hAnsi="Times New Roman" w:cs="Times New Roman"/>
          <w:b/>
          <w:bCs/>
          <w:sz w:val="24"/>
          <w:szCs w:val="24"/>
          <w:lang w:eastAsia="uk-UA" w:bidi="uk-UA"/>
        </w:rPr>
        <w:t>3</w:t>
      </w:r>
      <w:r w:rsidR="00985184">
        <w:rPr>
          <w:rFonts w:ascii="Times New Roman" w:eastAsia="Times New Roman" w:hAnsi="Times New Roman" w:cs="Times New Roman"/>
          <w:b/>
          <w:bCs/>
          <w:sz w:val="24"/>
          <w:szCs w:val="24"/>
          <w:lang w:val="en-US" w:eastAsia="uk-UA" w:bidi="uk-UA"/>
        </w:rPr>
        <w:t>1</w:t>
      </w:r>
      <w:r w:rsidRPr="00BD395E">
        <w:rPr>
          <w:rFonts w:ascii="Times New Roman" w:eastAsia="Times New Roman" w:hAnsi="Times New Roman" w:cs="Times New Roman"/>
          <w:b/>
          <w:bCs/>
          <w:sz w:val="24"/>
          <w:szCs w:val="24"/>
          <w:lang w:eastAsia="uk-UA" w:bidi="uk-UA"/>
        </w:rPr>
        <w:t xml:space="preserve"> » </w:t>
      </w:r>
      <w:r w:rsidR="00491580">
        <w:rPr>
          <w:rFonts w:ascii="Times New Roman" w:eastAsia="Times New Roman" w:hAnsi="Times New Roman" w:cs="Times New Roman"/>
          <w:b/>
          <w:bCs/>
          <w:sz w:val="24"/>
          <w:szCs w:val="24"/>
          <w:lang w:eastAsia="uk-UA" w:bidi="uk-UA"/>
        </w:rPr>
        <w:t>серп</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6CB9139F" w:rsidR="00295A31" w:rsidRPr="007572EE" w:rsidRDefault="007572EE" w:rsidP="00DF258F">
      <w:pPr>
        <w:spacing w:line="240" w:lineRule="auto"/>
        <w:jc w:val="center"/>
        <w:rPr>
          <w:rFonts w:ascii="Times New Roman" w:hAnsi="Times New Roman"/>
          <w:b/>
          <w:sz w:val="28"/>
          <w:szCs w:val="28"/>
        </w:rPr>
      </w:pPr>
      <w:bookmarkStart w:id="0" w:name="_GoBack"/>
      <w:r>
        <w:rPr>
          <w:rFonts w:ascii="Times New Roman" w:hAnsi="Times New Roman"/>
          <w:b/>
          <w:sz w:val="28"/>
          <w:szCs w:val="28"/>
        </w:rPr>
        <w:t>Нове будівництво споруди цивільного захисту, протирадіаційне укриття комунального закладу «Вінницький ліцей №</w:t>
      </w:r>
      <w:r w:rsidR="00985184" w:rsidRPr="00985184">
        <w:rPr>
          <w:rFonts w:ascii="Times New Roman" w:hAnsi="Times New Roman"/>
          <w:b/>
          <w:sz w:val="28"/>
          <w:szCs w:val="28"/>
          <w:lang w:val="ru-RU"/>
        </w:rPr>
        <w:t>12</w:t>
      </w:r>
      <w:r>
        <w:rPr>
          <w:rFonts w:ascii="Times New Roman" w:hAnsi="Times New Roman"/>
          <w:b/>
          <w:sz w:val="28"/>
          <w:szCs w:val="28"/>
        </w:rPr>
        <w:t xml:space="preserve">» по вул. </w:t>
      </w:r>
      <w:r w:rsidR="00985184">
        <w:rPr>
          <w:rFonts w:ascii="Times New Roman" w:hAnsi="Times New Roman"/>
          <w:b/>
          <w:sz w:val="28"/>
          <w:szCs w:val="28"/>
        </w:rPr>
        <w:t>М. Шимка,3</w:t>
      </w:r>
      <w:r>
        <w:rPr>
          <w:rFonts w:ascii="Times New Roman" w:hAnsi="Times New Roman"/>
          <w:b/>
          <w:sz w:val="28"/>
          <w:szCs w:val="28"/>
        </w:rPr>
        <w:t xml:space="preserve"> в м. Вінниці</w:t>
      </w:r>
    </w:p>
    <w:bookmarkEnd w:id="0"/>
    <w:p w14:paraId="12419C07" w14:textId="080D5285"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1" w:name="n240"/>
      <w:bookmarkEnd w:id="1"/>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6E00EAE5" w14:textId="77777777" w:rsidR="00F96EB1" w:rsidRDefault="00F96EB1">
      <w:pPr>
        <w:ind w:right="142"/>
        <w:jc w:val="center"/>
        <w:rPr>
          <w:rFonts w:ascii="Times New Roman" w:hAnsi="Times New Roman" w:cs="Times New Roman"/>
          <w:sz w:val="28"/>
          <w:szCs w:val="28"/>
        </w:rPr>
      </w:pP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584126D2" w14:textId="77777777" w:rsidR="00985184" w:rsidRDefault="00985184" w:rsidP="00F23493">
            <w:pPr>
              <w:spacing w:line="240" w:lineRule="auto"/>
              <w:rPr>
                <w:rFonts w:ascii="Times New Roman" w:hAnsi="Times New Roman"/>
                <w:sz w:val="24"/>
                <w:szCs w:val="24"/>
                <w:lang w:eastAsia="uk-UA"/>
              </w:rPr>
            </w:pPr>
            <w:r w:rsidRPr="00985184">
              <w:rPr>
                <w:rFonts w:ascii="Times New Roman" w:hAnsi="Times New Roman"/>
                <w:sz w:val="24"/>
                <w:szCs w:val="24"/>
                <w:lang w:eastAsia="uk-UA"/>
              </w:rPr>
              <w:t>Нове будівництво споруди цивільного захисту, протирадіаційне укриття комунального закладу «Вінницький ліцей №12» по вул. М. Шимка,3 в м. Вінниці</w:t>
            </w:r>
          </w:p>
          <w:p w14:paraId="69C103FA" w14:textId="567B218D" w:rsidR="009714E2" w:rsidRPr="003D5C5E" w:rsidRDefault="00F23493" w:rsidP="00F23493">
            <w:pPr>
              <w:spacing w:line="240" w:lineRule="auto"/>
              <w:rPr>
                <w:rFonts w:ascii="Times New Roman" w:hAnsi="Times New Roman"/>
                <w:sz w:val="24"/>
                <w:szCs w:val="24"/>
              </w:rPr>
            </w:pPr>
            <w:r w:rsidRPr="00F23493">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6F56CCB9" w:rsidR="007A3135" w:rsidRPr="003D5C5E" w:rsidRDefault="00E33CA3" w:rsidP="00985184">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985184">
              <w:rPr>
                <w:rFonts w:ascii="Times New Roman" w:hAnsi="Times New Roman" w:cs="Times New Roman"/>
                <w:color w:val="auto"/>
                <w:sz w:val="24"/>
                <w:szCs w:val="24"/>
                <w:lang w:val="uk-UA"/>
              </w:rPr>
              <w:t>М. Шимка,3</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60DE2141"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31.12.2023р.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6DEF580" w14:textId="77777777" w:rsidR="00F4732F" w:rsidRPr="00F4732F" w:rsidRDefault="0086510F" w:rsidP="00F4732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w:t>
            </w:r>
            <w:r w:rsidR="00F4732F" w:rsidRPr="00F4732F">
              <w:rPr>
                <w:rFonts w:ascii="Times New Roman" w:eastAsia="Times New Roman" w:hAnsi="Times New Roman" w:cs="Times New Roman"/>
                <w:color w:val="auto"/>
                <w:sz w:val="24"/>
                <w:szCs w:val="24"/>
                <w:lang w:val="uk-UA"/>
              </w:rPr>
              <w:t xml:space="preserve">Під час використання електронної системи </w:t>
            </w:r>
            <w:proofErr w:type="spellStart"/>
            <w:r w:rsidR="00F4732F" w:rsidRPr="00F4732F">
              <w:rPr>
                <w:rFonts w:ascii="Times New Roman" w:eastAsia="Times New Roman" w:hAnsi="Times New Roman" w:cs="Times New Roman"/>
                <w:color w:val="auto"/>
                <w:sz w:val="24"/>
                <w:szCs w:val="24"/>
                <w:lang w:val="uk-UA"/>
              </w:rPr>
              <w:t>закупівель</w:t>
            </w:r>
            <w:proofErr w:type="spellEnd"/>
            <w:r w:rsidR="00F4732F" w:rsidRPr="00F4732F">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бути підписана  кваліфікованим електронним підписом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1176BA74" w14:textId="727D0C09" w:rsidR="0086510F" w:rsidRPr="003D5C5E" w:rsidRDefault="00F4732F" w:rsidP="00F4732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4732F">
              <w:rPr>
                <w:rFonts w:ascii="Times New Roman" w:eastAsia="Times New Roman" w:hAnsi="Times New Roman" w:cs="Times New Roman"/>
                <w:color w:val="auto"/>
                <w:sz w:val="24"/>
                <w:szCs w:val="24"/>
                <w:lang w:val="uk-UA"/>
              </w:rPr>
              <w:lastRenderedPageBreak/>
              <w:t xml:space="preserve"> Замовник перевіряє КЕП учасника на сайті центрального </w:t>
            </w:r>
            <w:proofErr w:type="spellStart"/>
            <w:r w:rsidRPr="00F4732F">
              <w:rPr>
                <w:rFonts w:ascii="Times New Roman" w:eastAsia="Times New Roman" w:hAnsi="Times New Roman" w:cs="Times New Roman"/>
                <w:color w:val="auto"/>
                <w:sz w:val="24"/>
                <w:szCs w:val="24"/>
                <w:lang w:val="uk-UA"/>
              </w:rPr>
              <w:t>засвідчувального</w:t>
            </w:r>
            <w:proofErr w:type="spellEnd"/>
            <w:r w:rsidRPr="00F4732F">
              <w:rPr>
                <w:rFonts w:ascii="Times New Roman" w:eastAsia="Times New Roman" w:hAnsi="Times New Roman" w:cs="Times New Roman"/>
                <w:color w:val="auto"/>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3D5C5E">
              <w:rPr>
                <w:rFonts w:ascii="Times New Roman" w:eastAsia="Times New Roman" w:hAnsi="Times New Roman" w:cs="Times New Roman"/>
                <w:color w:val="auto"/>
                <w:sz w:val="24"/>
                <w:szCs w:val="24"/>
                <w:lang w:val="uk-UA"/>
              </w:rPr>
              <w:lastRenderedPageBreak/>
              <w:t>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5D8BB52" w14:textId="6B6EAF74" w:rsidR="00047C6E" w:rsidRPr="0076044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F96EB1" w:rsidRPr="00F96EB1">
              <w:rPr>
                <w:rFonts w:ascii="Times New Roman" w:hAnsi="Times New Roman" w:cs="Times New Roman"/>
                <w:b/>
                <w:sz w:val="24"/>
                <w:szCs w:val="24"/>
                <w:u w:val="single"/>
              </w:rPr>
              <w:t>293171</w:t>
            </w:r>
            <w:r w:rsidR="00047C6E" w:rsidRPr="00760448">
              <w:rPr>
                <w:rFonts w:ascii="Times New Roman" w:hAnsi="Times New Roman" w:cs="Times New Roman"/>
                <w:b/>
                <w:sz w:val="24"/>
                <w:szCs w:val="24"/>
                <w:u w:val="single"/>
              </w:rPr>
              <w:t xml:space="preserve"> грн. (двісті </w:t>
            </w:r>
            <w:r w:rsidR="0058546A">
              <w:rPr>
                <w:rFonts w:ascii="Times New Roman" w:hAnsi="Times New Roman" w:cs="Times New Roman"/>
                <w:b/>
                <w:sz w:val="24"/>
                <w:szCs w:val="24"/>
                <w:u w:val="single"/>
              </w:rPr>
              <w:t>дев</w:t>
            </w:r>
            <w:r w:rsidR="00047C6E" w:rsidRPr="00760448">
              <w:rPr>
                <w:rFonts w:ascii="Times New Roman" w:hAnsi="Times New Roman" w:cs="Times New Roman"/>
                <w:b/>
                <w:sz w:val="24"/>
                <w:szCs w:val="24"/>
                <w:u w:val="single"/>
              </w:rPr>
              <w:t>’я</w:t>
            </w:r>
            <w:r w:rsidR="0058546A">
              <w:rPr>
                <w:rFonts w:ascii="Times New Roman" w:hAnsi="Times New Roman" w:cs="Times New Roman"/>
                <w:b/>
                <w:sz w:val="24"/>
                <w:szCs w:val="24"/>
                <w:u w:val="single"/>
              </w:rPr>
              <w:t>носто три</w:t>
            </w:r>
            <w:r w:rsidR="00047C6E" w:rsidRPr="00760448">
              <w:rPr>
                <w:rFonts w:ascii="Times New Roman" w:hAnsi="Times New Roman" w:cs="Times New Roman"/>
                <w:b/>
                <w:sz w:val="24"/>
                <w:szCs w:val="24"/>
                <w:u w:val="single"/>
              </w:rPr>
              <w:t xml:space="preserve"> тисяч</w:t>
            </w:r>
            <w:r w:rsidR="0058546A">
              <w:rPr>
                <w:rFonts w:ascii="Times New Roman" w:hAnsi="Times New Roman" w:cs="Times New Roman"/>
                <w:b/>
                <w:sz w:val="24"/>
                <w:szCs w:val="24"/>
                <w:u w:val="single"/>
              </w:rPr>
              <w:t>і</w:t>
            </w:r>
            <w:r w:rsidR="00047C6E" w:rsidRPr="00760448">
              <w:rPr>
                <w:rFonts w:ascii="Times New Roman" w:hAnsi="Times New Roman" w:cs="Times New Roman"/>
                <w:b/>
                <w:sz w:val="24"/>
                <w:szCs w:val="24"/>
                <w:u w:val="single"/>
              </w:rPr>
              <w:t xml:space="preserve"> </w:t>
            </w:r>
            <w:r w:rsidR="0058546A">
              <w:rPr>
                <w:rFonts w:ascii="Times New Roman" w:hAnsi="Times New Roman" w:cs="Times New Roman"/>
                <w:b/>
                <w:sz w:val="24"/>
                <w:szCs w:val="24"/>
                <w:u w:val="single"/>
              </w:rPr>
              <w:t>сто сімдесят одна</w:t>
            </w:r>
            <w:r w:rsidR="00047C6E" w:rsidRPr="00760448">
              <w:rPr>
                <w:rFonts w:ascii="Times New Roman" w:hAnsi="Times New Roman" w:cs="Times New Roman"/>
                <w:b/>
                <w:sz w:val="24"/>
                <w:szCs w:val="24"/>
                <w:u w:val="single"/>
              </w:rPr>
              <w:t xml:space="preserve"> грн.</w:t>
            </w:r>
            <w:r w:rsidR="005F4BB1" w:rsidRPr="00760448">
              <w:rPr>
                <w:rFonts w:ascii="Times New Roman" w:hAnsi="Times New Roman" w:cs="Times New Roman"/>
                <w:b/>
                <w:sz w:val="24"/>
                <w:szCs w:val="24"/>
                <w:u w:val="single"/>
              </w:rPr>
              <w:t>)</w:t>
            </w:r>
          </w:p>
          <w:p w14:paraId="28FA4671" w14:textId="7FCFE6DD"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w:t>
            </w:r>
            <w:r w:rsidRPr="00AF2A0B">
              <w:rPr>
                <w:color w:val="000000"/>
              </w:rPr>
              <w:lastRenderedPageBreak/>
              <w:t>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66DDC79" w14:textId="1FAFF762" w:rsidR="00C37E19"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3CB233E2" w14:textId="02BC5D07" w:rsidR="00C37E19" w:rsidRPr="00E237AF" w:rsidRDefault="00C37E19"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C37E19">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auto"/>
                <w:sz w:val="24"/>
                <w:szCs w:val="24"/>
                <w:lang w:val="uk-UA"/>
              </w:rPr>
              <w:t>;</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185AD2E3" w14:textId="77777777" w:rsidR="00985184" w:rsidRPr="00985184" w:rsidRDefault="00E13C1C" w:rsidP="00985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5.3.  </w:t>
            </w:r>
            <w:r w:rsidR="00985184" w:rsidRPr="00985184">
              <w:rPr>
                <w:rFonts w:ascii="Times New Roman" w:eastAsia="Times New Roman" w:hAnsi="Times New Roman" w:cs="Times New Roman"/>
                <w:color w:val="auto"/>
                <w:sz w:val="24"/>
                <w:szCs w:val="24"/>
                <w:lang w:val="uk-UA"/>
              </w:rPr>
              <w:t xml:space="preserve">Учасник надає належним чином завірену </w:t>
            </w:r>
            <w:proofErr w:type="spellStart"/>
            <w:r w:rsidR="00985184" w:rsidRPr="00985184">
              <w:rPr>
                <w:rFonts w:ascii="Times New Roman" w:eastAsia="Times New Roman" w:hAnsi="Times New Roman" w:cs="Times New Roman"/>
                <w:color w:val="auto"/>
                <w:sz w:val="24"/>
                <w:szCs w:val="24"/>
                <w:lang w:val="uk-UA"/>
              </w:rPr>
              <w:t>скан</w:t>
            </w:r>
            <w:proofErr w:type="spellEnd"/>
            <w:r w:rsidR="00985184" w:rsidRPr="00985184">
              <w:rPr>
                <w:rFonts w:ascii="Times New Roman" w:eastAsia="Times New Roman" w:hAnsi="Times New Roman" w:cs="Times New Roman"/>
                <w:color w:val="auto"/>
                <w:sz w:val="24"/>
                <w:szCs w:val="24"/>
                <w:lang w:val="uk-UA"/>
              </w:rPr>
              <w:t xml:space="preserve">–копію оригіналу чинної ліцензії на провадження господарської діяльності, яка є предметом закупівлі (якщо виконання таких робіт (надання послуг) підлягає ліцензуванню, передбачено законодавством). </w:t>
            </w:r>
          </w:p>
          <w:p w14:paraId="75F2C1E7" w14:textId="6F591545" w:rsidR="00E13C1C" w:rsidRPr="00355EF6" w:rsidRDefault="00985184" w:rsidP="00985184">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985184">
              <w:rPr>
                <w:rFonts w:ascii="Times New Roman" w:eastAsia="Times New Roman" w:hAnsi="Times New Roman" w:cs="Times New Roman"/>
                <w:color w:val="auto"/>
                <w:sz w:val="24"/>
                <w:szCs w:val="24"/>
                <w:lang w:val="uk-UA"/>
              </w:rPr>
              <w:t xml:space="preserve">Учасник надає належним чином завірену </w:t>
            </w:r>
            <w:proofErr w:type="spellStart"/>
            <w:r w:rsidRPr="00985184">
              <w:rPr>
                <w:rFonts w:ascii="Times New Roman" w:eastAsia="Times New Roman" w:hAnsi="Times New Roman" w:cs="Times New Roman"/>
                <w:color w:val="auto"/>
                <w:sz w:val="24"/>
                <w:szCs w:val="24"/>
                <w:lang w:val="uk-UA"/>
              </w:rPr>
              <w:t>скан</w:t>
            </w:r>
            <w:proofErr w:type="spellEnd"/>
            <w:r w:rsidRPr="00985184">
              <w:rPr>
                <w:rFonts w:ascii="Times New Roman" w:eastAsia="Times New Roman" w:hAnsi="Times New Roman" w:cs="Times New Roman"/>
                <w:color w:val="auto"/>
                <w:sz w:val="24"/>
                <w:szCs w:val="24"/>
                <w:lang w:val="uk-UA"/>
              </w:rPr>
              <w:t xml:space="preserve">–копію дозволу на виконання робіт підвищеної небезпеки, якщо отримання такого дозволу передбачено законодавством та належним чином завірену </w:t>
            </w:r>
            <w:proofErr w:type="spellStart"/>
            <w:r w:rsidRPr="00985184">
              <w:rPr>
                <w:rFonts w:ascii="Times New Roman" w:eastAsia="Times New Roman" w:hAnsi="Times New Roman" w:cs="Times New Roman"/>
                <w:color w:val="auto"/>
                <w:sz w:val="24"/>
                <w:szCs w:val="24"/>
                <w:lang w:val="uk-UA"/>
              </w:rPr>
              <w:t>скан</w:t>
            </w:r>
            <w:proofErr w:type="spellEnd"/>
            <w:r w:rsidRPr="00985184">
              <w:rPr>
                <w:rFonts w:ascii="Times New Roman" w:eastAsia="Times New Roman" w:hAnsi="Times New Roman" w:cs="Times New Roman"/>
                <w:color w:val="auto"/>
                <w:sz w:val="24"/>
                <w:szCs w:val="24"/>
                <w:lang w:val="uk-UA"/>
              </w:rPr>
              <w:t xml:space="preserve">–копію дозволу на експлуатацію машин, механізмів та устаткування підвищеної небезпеки, якщо отримання такого дозволу на провадження такого виду діяльності передбачено законодавством та належним чином завірену </w:t>
            </w:r>
            <w:proofErr w:type="spellStart"/>
            <w:r w:rsidRPr="00985184">
              <w:rPr>
                <w:rFonts w:ascii="Times New Roman" w:eastAsia="Times New Roman" w:hAnsi="Times New Roman" w:cs="Times New Roman"/>
                <w:color w:val="auto"/>
                <w:sz w:val="24"/>
                <w:szCs w:val="24"/>
                <w:lang w:val="uk-UA"/>
              </w:rPr>
              <w:t>скан</w:t>
            </w:r>
            <w:proofErr w:type="spellEnd"/>
            <w:r w:rsidRPr="00985184">
              <w:rPr>
                <w:rFonts w:ascii="Times New Roman" w:eastAsia="Times New Roman" w:hAnsi="Times New Roman" w:cs="Times New Roman"/>
                <w:color w:val="auto"/>
                <w:sz w:val="24"/>
                <w:szCs w:val="24"/>
                <w:lang w:val="uk-UA"/>
              </w:rPr>
              <w:t>–копію декларації відповідності матеріально–технічної бази вимогам законодавства з питань охорони праці.</w:t>
            </w:r>
            <w:r w:rsidR="00E13C1C"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355EF6">
              <w:rPr>
                <w:rFonts w:ascii="Times New Roman" w:eastAsia="Times New Roman" w:hAnsi="Times New Roman" w:cs="Times New Roman"/>
                <w:color w:val="000000"/>
                <w:sz w:val="24"/>
                <w:szCs w:val="24"/>
                <w:lang w:eastAsia="uk-U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xml:space="preserve">, крім випадків, коли доступ до такої </w:t>
            </w:r>
            <w:r w:rsidRPr="00355EF6">
              <w:rPr>
                <w:rFonts w:ascii="Times New Roman" w:eastAsia="Times New Roman" w:hAnsi="Times New Roman" w:cs="Times New Roman"/>
                <w:color w:val="auto"/>
                <w:sz w:val="24"/>
                <w:szCs w:val="24"/>
                <w:lang w:val="uk-UA"/>
              </w:rPr>
              <w:lastRenderedPageBreak/>
              <w:t>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04F467F0" w14:textId="77777777"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F02C30A" w14:textId="4E77CD11" w:rsidR="00625BE9" w:rsidRPr="003D5C5E" w:rsidRDefault="00625BE9"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6.4. </w:t>
            </w:r>
            <w:r w:rsidRPr="00625BE9">
              <w:rPr>
                <w:rFonts w:ascii="Times New Roman" w:hAnsi="Times New Roman"/>
                <w:sz w:val="24"/>
                <w:szCs w:val="24"/>
              </w:rPr>
              <w:t>Учасники в складі тендерної пропозиції документально підтверджують інформацію про наявність ліцензійного комплексу АВК-5 або іншого програмного комплексу, який взаємодіє з комплексом АВК-5 в частині передачі кошторисної документації.</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5E77B9B0"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8B1F5E">
              <w:rPr>
                <w:rFonts w:ascii="Times New Roman" w:eastAsia="Times New Roman" w:hAnsi="Times New Roman" w:cs="Times New Roman"/>
                <w:b/>
                <w:color w:val="auto"/>
                <w:sz w:val="24"/>
                <w:szCs w:val="24"/>
                <w:lang w:val="uk-UA"/>
              </w:rPr>
              <w:t>0</w:t>
            </w:r>
            <w:r w:rsidR="00CF0FC8">
              <w:rPr>
                <w:rFonts w:ascii="Times New Roman" w:eastAsia="Times New Roman" w:hAnsi="Times New Roman" w:cs="Times New Roman"/>
                <w:b/>
                <w:color w:val="auto"/>
                <w:sz w:val="24"/>
                <w:szCs w:val="24"/>
                <w:lang w:val="uk-UA"/>
              </w:rPr>
              <w:t>8</w:t>
            </w:r>
            <w:r w:rsidR="00101DC9" w:rsidRPr="00BF3BDA">
              <w:rPr>
                <w:rFonts w:ascii="Times New Roman" w:eastAsia="Times New Roman" w:hAnsi="Times New Roman" w:cs="Times New Roman"/>
                <w:b/>
                <w:color w:val="auto"/>
                <w:sz w:val="24"/>
                <w:szCs w:val="24"/>
                <w:lang w:val="uk-UA"/>
              </w:rPr>
              <w:t>.0</w:t>
            </w:r>
            <w:r w:rsidR="008B1F5E">
              <w:rPr>
                <w:rFonts w:ascii="Times New Roman" w:eastAsia="Times New Roman" w:hAnsi="Times New Roman" w:cs="Times New Roman"/>
                <w:b/>
                <w:color w:val="auto"/>
                <w:sz w:val="24"/>
                <w:szCs w:val="24"/>
                <w:lang w:val="uk-UA"/>
              </w:rPr>
              <w:t>9</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lastRenderedPageBreak/>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Pr>
                <w:lang w:val="uk-UA"/>
              </w:rP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3D5C5E">
              <w:rPr>
                <w:lang w:val="uk-UA"/>
              </w:rPr>
              <w:lastRenderedPageBreak/>
              <w:t>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w:t>
            </w:r>
            <w:r w:rsidRPr="006454FD">
              <w:rPr>
                <w:rFonts w:ascii="Times New Roman" w:hAnsi="Times New Roman" w:cs="Times New Roman"/>
                <w:sz w:val="24"/>
                <w:szCs w:val="24"/>
                <w:lang w:val="uk-UA"/>
              </w:rPr>
              <w:lastRenderedPageBreak/>
              <w:t>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 xml:space="preserve">Учасник самостійно несе всі витрати, пов’язані з підготовкою </w:t>
            </w:r>
            <w:r w:rsidRPr="003D5C5E">
              <w:rPr>
                <w:rFonts w:ascii="Times New Roman" w:hAnsi="Times New Roman" w:cs="Times New Roman"/>
                <w:color w:val="auto"/>
                <w:sz w:val="24"/>
                <w:szCs w:val="24"/>
                <w:lang w:val="uk-UA"/>
              </w:rPr>
              <w:lastRenderedPageBreak/>
              <w:t>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w:t>
            </w:r>
            <w:r w:rsidRPr="00180F98">
              <w:rPr>
                <w:rFonts w:ascii="Times New Roman" w:eastAsia="Times New Roman" w:hAnsi="Times New Roman" w:cs="Times New Roman"/>
                <w:color w:val="auto"/>
                <w:sz w:val="24"/>
                <w:szCs w:val="24"/>
                <w:lang w:val="uk-UA"/>
              </w:rPr>
              <w:lastRenderedPageBreak/>
              <w:t>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 xml:space="preserve">при укладанні </w:t>
            </w:r>
            <w:r w:rsidRPr="00324329">
              <w:rPr>
                <w:rFonts w:ascii="Times New Roman" w:hAnsi="Times New Roman" w:cs="Times New Roman"/>
                <w:bCs/>
                <w:sz w:val="24"/>
                <w:szCs w:val="24"/>
                <w:lang w:val="uk-UA"/>
              </w:rPr>
              <w:lastRenderedPageBreak/>
              <w:t>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w:t>
            </w:r>
            <w:r w:rsidRPr="00DA2329">
              <w:rPr>
                <w:rFonts w:ascii="Times New Roman" w:eastAsia="Times New Roman" w:hAnsi="Times New Roman" w:cs="Times New Roman"/>
                <w:color w:val="auto"/>
                <w:sz w:val="24"/>
                <w:szCs w:val="24"/>
                <w:lang w:val="uk-UA"/>
              </w:rPr>
              <w:lastRenderedPageBreak/>
              <w:t>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B100A2"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B100A2" w:rsidRPr="003F262E" w:rsidRDefault="00B100A2" w:rsidP="00B100A2">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B100A2" w:rsidRPr="003F262E" w:rsidRDefault="00B100A2" w:rsidP="00B100A2">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7B29326E" w14:textId="77777777" w:rsidR="00B100A2" w:rsidRPr="00127795" w:rsidRDefault="00B100A2" w:rsidP="00B100A2">
            <w:pPr>
              <w:suppressAutoHyphens/>
              <w:spacing w:after="0" w:line="240" w:lineRule="auto"/>
              <w:jc w:val="both"/>
              <w:rPr>
                <w:rFonts w:ascii="Times New Roman" w:eastAsia="Times New Roman" w:hAnsi="Times New Roman" w:cs="Times New Roman"/>
                <w:color w:val="000000"/>
                <w:sz w:val="24"/>
                <w:szCs w:val="24"/>
              </w:rPr>
            </w:pPr>
            <w:r w:rsidRPr="00127795">
              <w:rPr>
                <w:rFonts w:ascii="Times New Roman" w:eastAsia="Times New Roman" w:hAnsi="Times New Roman" w:cs="Times New Roman"/>
                <w:color w:val="000000"/>
                <w:sz w:val="24"/>
                <w:szCs w:val="24"/>
              </w:rPr>
              <w:t>1.1. Довідка на фірмовому бланку (у разі наявності  такого бланку) в довільній формі, де Учасник зазначає інформацію про наявність необхідного обладнання та інструменту, в тому числі зазначається інформація про наявність електроінструменту, транспорту, що планує використовувати учасник під час проведення робіт, адресу офісу та складських або виробничих приміщень учасника, контактні телефони офісу учасника.</w:t>
            </w:r>
          </w:p>
          <w:p w14:paraId="768096F3" w14:textId="77777777" w:rsidR="00B100A2" w:rsidRPr="00127795" w:rsidRDefault="00B100A2" w:rsidP="00B100A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xml:space="preserve">1.2. До довідки додаються: </w:t>
            </w:r>
          </w:p>
          <w:p w14:paraId="3E2BE52F" w14:textId="77777777" w:rsidR="00B100A2" w:rsidRPr="00127795" w:rsidRDefault="00B100A2" w:rsidP="00B100A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підтверджуючі бухгалтерські документи на обладнання, машини і механізми або договір на оренду, користування, надання послуг та інше з переліком наявного обладнання та техніки;</w:t>
            </w:r>
          </w:p>
          <w:p w14:paraId="35040E1F" w14:textId="77777777" w:rsidR="00B100A2" w:rsidRPr="00127795" w:rsidRDefault="00B100A2" w:rsidP="00B100A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документи, що підтверджують право власності або користування (оренди) офісних, виробничих (складських) приміщень.</w:t>
            </w:r>
          </w:p>
          <w:p w14:paraId="0EBBBBE9" w14:textId="779E9120" w:rsidR="00B100A2" w:rsidRPr="00B100A2" w:rsidRDefault="00B100A2" w:rsidP="00B100A2">
            <w:pPr>
              <w:tabs>
                <w:tab w:val="left" w:pos="0"/>
              </w:tabs>
              <w:spacing w:line="240" w:lineRule="auto"/>
              <w:jc w:val="both"/>
              <w:rPr>
                <w:rFonts w:ascii="Times New Roman" w:hAnsi="Times New Roman"/>
                <w:sz w:val="24"/>
                <w:szCs w:val="24"/>
              </w:rPr>
            </w:pPr>
            <w:r w:rsidRPr="00B100A2">
              <w:rPr>
                <w:rFonts w:ascii="Times New Roman" w:hAnsi="Times New Roman"/>
                <w:sz w:val="24"/>
                <w:szCs w:val="24"/>
              </w:rPr>
              <w:t xml:space="preserve">- наявність в Учасника власного автотранспорту (будівельних машин) підтверджується копіями </w:t>
            </w:r>
            <w:proofErr w:type="spellStart"/>
            <w:r w:rsidRPr="00B100A2">
              <w:rPr>
                <w:rFonts w:ascii="Times New Roman" w:hAnsi="Times New Roman"/>
                <w:sz w:val="24"/>
                <w:szCs w:val="24"/>
              </w:rPr>
              <w:t>свідоцтв</w:t>
            </w:r>
            <w:proofErr w:type="spellEnd"/>
            <w:r w:rsidRPr="00B100A2">
              <w:rPr>
                <w:rFonts w:ascii="Times New Roman" w:hAnsi="Times New Roman"/>
                <w:sz w:val="24"/>
                <w:szCs w:val="24"/>
              </w:rPr>
              <w:t xml:space="preserve"> про реєстрацію (копіями технічних паспортів) транспортних засобів, наявність в Учасника орендованого автотранспорту (будівельних машин) підтверджується копіями договорів оренди транспортних засобів, з обов’язковим документальним підтвердженням наявності у іншої сторони договору транспортних засобів (копіями </w:t>
            </w:r>
            <w:proofErr w:type="spellStart"/>
            <w:r w:rsidRPr="00B100A2">
              <w:rPr>
                <w:rFonts w:ascii="Times New Roman" w:hAnsi="Times New Roman"/>
                <w:sz w:val="24"/>
                <w:szCs w:val="24"/>
              </w:rPr>
              <w:t>свідоцтв</w:t>
            </w:r>
            <w:proofErr w:type="spellEnd"/>
            <w:r w:rsidRPr="00B100A2">
              <w:rPr>
                <w:rFonts w:ascii="Times New Roman" w:hAnsi="Times New Roman"/>
                <w:sz w:val="24"/>
                <w:szCs w:val="24"/>
              </w:rPr>
              <w:t xml:space="preserve"> про реєстрацію (копіями технічних паспортів) транспортних засобів).</w:t>
            </w:r>
          </w:p>
        </w:tc>
      </w:tr>
      <w:tr w:rsidR="00BD1952"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BD1952" w:rsidRDefault="00BD1952" w:rsidP="00BD1952">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BD1952" w:rsidRPr="00906074" w:rsidRDefault="00BD1952" w:rsidP="00BD1952">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79E66378" w14:textId="77777777" w:rsidR="00BD1952"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color w:val="000000"/>
                <w:sz w:val="24"/>
                <w:szCs w:val="24"/>
              </w:rPr>
              <w:t>2.1. Довідка на фірмовому бланку (</w:t>
            </w:r>
            <w:r w:rsidRPr="00127795">
              <w:rPr>
                <w:rFonts w:ascii="Times New Roman" w:eastAsia="Times New Roman" w:hAnsi="Times New Roman" w:cs="Times New Roman"/>
                <w:i/>
                <w:color w:val="000000"/>
                <w:sz w:val="24"/>
                <w:szCs w:val="24"/>
              </w:rPr>
              <w:t>у разі наявності  такого бланку</w:t>
            </w:r>
            <w:r w:rsidRPr="00127795">
              <w:rPr>
                <w:rFonts w:ascii="Times New Roman" w:eastAsia="Times New Roman" w:hAnsi="Times New Roman" w:cs="Times New Roman"/>
                <w:color w:val="000000"/>
                <w:sz w:val="24"/>
                <w:szCs w:val="24"/>
              </w:rPr>
              <w:t xml:space="preserve">) у довільній формі, де Учасник зазначає інформацію </w:t>
            </w:r>
            <w:r w:rsidRPr="00127795">
              <w:rPr>
                <w:rFonts w:ascii="Times New Roman" w:eastAsia="Times New Roman" w:hAnsi="Times New Roman" w:cs="Times New Roman"/>
                <w:spacing w:val="1"/>
                <w:sz w:val="24"/>
                <w:szCs w:val="24"/>
                <w:lang w:eastAsia="ar-SA"/>
              </w:rPr>
              <w:t>про чисельність та кваліфікацію персоналу (</w:t>
            </w:r>
            <w:r>
              <w:rPr>
                <w:rFonts w:ascii="Times New Roman" w:eastAsia="Times New Roman" w:hAnsi="Times New Roman" w:cs="Times New Roman"/>
                <w:spacing w:val="1"/>
                <w:sz w:val="24"/>
                <w:szCs w:val="24"/>
                <w:lang w:eastAsia="ar-SA"/>
              </w:rPr>
              <w:t>адміністрації. інженерів</w:t>
            </w:r>
            <w:r w:rsidRPr="00367CA2">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pacing w:val="1"/>
                <w:sz w:val="24"/>
                <w:szCs w:val="24"/>
                <w:lang w:eastAsia="ar-SA"/>
              </w:rPr>
              <w:t>т</w:t>
            </w:r>
            <w:r w:rsidRPr="00367CA2">
              <w:rPr>
                <w:rFonts w:ascii="Times New Roman" w:eastAsia="Times New Roman" w:hAnsi="Times New Roman" w:cs="Times New Roman"/>
                <w:spacing w:val="1"/>
                <w:sz w:val="24"/>
                <w:szCs w:val="24"/>
                <w:lang w:eastAsia="ar-SA"/>
              </w:rPr>
              <w:t>а працівників робочих професій</w:t>
            </w:r>
            <w:r>
              <w:rPr>
                <w:rFonts w:ascii="Times New Roman" w:eastAsia="Times New Roman" w:hAnsi="Times New Roman" w:cs="Times New Roman"/>
                <w:spacing w:val="1"/>
                <w:sz w:val="24"/>
                <w:szCs w:val="24"/>
                <w:lang w:eastAsia="ar-SA"/>
              </w:rPr>
              <w:t>,</w:t>
            </w:r>
            <w:r w:rsidRPr="00367CA2">
              <w:rPr>
                <w:rFonts w:ascii="Times New Roman" w:eastAsia="Times New Roman" w:hAnsi="Times New Roman" w:cs="Times New Roman"/>
                <w:spacing w:val="1"/>
                <w:sz w:val="24"/>
                <w:szCs w:val="24"/>
                <w:lang w:eastAsia="ar-SA"/>
              </w:rPr>
              <w:t xml:space="preserve"> </w:t>
            </w:r>
            <w:r w:rsidRPr="00127795">
              <w:rPr>
                <w:rFonts w:ascii="Times New Roman" w:eastAsia="Times New Roman" w:hAnsi="Times New Roman" w:cs="Times New Roman"/>
                <w:spacing w:val="1"/>
                <w:sz w:val="24"/>
                <w:szCs w:val="24"/>
                <w:lang w:eastAsia="ar-SA"/>
              </w:rPr>
              <w:t>із обов’язковим зазначенням П.І.Б.</w:t>
            </w:r>
            <w:r>
              <w:rPr>
                <w:rFonts w:ascii="Times New Roman" w:eastAsia="Times New Roman" w:hAnsi="Times New Roman" w:cs="Times New Roman"/>
                <w:spacing w:val="1"/>
                <w:sz w:val="24"/>
                <w:szCs w:val="24"/>
                <w:lang w:eastAsia="ar-SA"/>
              </w:rPr>
              <w:t>,</w:t>
            </w:r>
            <w:r w:rsidRPr="00367CA2">
              <w:t xml:space="preserve"> </w:t>
            </w:r>
            <w:r w:rsidRPr="00367CA2">
              <w:rPr>
                <w:rFonts w:ascii="Times New Roman" w:eastAsia="Times New Roman" w:hAnsi="Times New Roman" w:cs="Times New Roman"/>
                <w:spacing w:val="1"/>
                <w:sz w:val="24"/>
                <w:szCs w:val="24"/>
                <w:lang w:eastAsia="ar-SA"/>
              </w:rPr>
              <w:t>посади, освіти, досвіду роботи в цілому (років) та досвіду роботи на аналогічній посаді (років)</w:t>
            </w:r>
            <w:r w:rsidRPr="00127795">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pacing w:val="1"/>
                <w:sz w:val="24"/>
                <w:szCs w:val="24"/>
                <w:lang w:eastAsia="ar-SA"/>
              </w:rPr>
              <w:t xml:space="preserve"> </w:t>
            </w:r>
            <w:r w:rsidRPr="00367CA2">
              <w:rPr>
                <w:rFonts w:ascii="Times New Roman" w:eastAsia="Times New Roman" w:hAnsi="Times New Roman" w:cs="Times New Roman"/>
                <w:spacing w:val="1"/>
                <w:sz w:val="24"/>
                <w:szCs w:val="24"/>
                <w:lang w:eastAsia="ar-SA"/>
              </w:rPr>
              <w:t xml:space="preserve">в загальній кількості </w:t>
            </w:r>
            <w:r w:rsidRPr="00115DA8">
              <w:rPr>
                <w:rFonts w:ascii="Times New Roman" w:eastAsia="Times New Roman" w:hAnsi="Times New Roman" w:cs="Times New Roman"/>
                <w:spacing w:val="1"/>
                <w:sz w:val="24"/>
                <w:szCs w:val="24"/>
                <w:lang w:eastAsia="ar-SA"/>
              </w:rPr>
              <w:t>не менше 20 (двадцяти) чоловік</w:t>
            </w:r>
            <w:r w:rsidRPr="00367CA2">
              <w:rPr>
                <w:rFonts w:ascii="Times New Roman" w:eastAsia="Times New Roman" w:hAnsi="Times New Roman" w:cs="Times New Roman"/>
                <w:b/>
                <w:color w:val="FF0000"/>
                <w:spacing w:val="1"/>
                <w:sz w:val="24"/>
                <w:szCs w:val="24"/>
                <w:lang w:eastAsia="ar-SA"/>
              </w:rPr>
              <w:t>,</w:t>
            </w:r>
            <w:r w:rsidRPr="00127795">
              <w:rPr>
                <w:rFonts w:ascii="Times New Roman" w:eastAsia="Times New Roman" w:hAnsi="Times New Roman" w:cs="Times New Roman"/>
                <w:spacing w:val="1"/>
                <w:sz w:val="24"/>
                <w:szCs w:val="24"/>
                <w:lang w:eastAsia="ar-SA"/>
              </w:rPr>
              <w:t xml:space="preserve"> що планується до залучення для виконання робіт відповідно до предмета закупівлі. </w:t>
            </w:r>
          </w:p>
          <w:p w14:paraId="1682EE4E"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z w:val="24"/>
                <w:szCs w:val="24"/>
                <w:lang w:eastAsia="ru-RU"/>
              </w:rPr>
              <w:lastRenderedPageBreak/>
              <w:t>2.2.</w:t>
            </w:r>
            <w:r w:rsidRPr="00127795">
              <w:rPr>
                <w:rFonts w:ascii="Times New Roman" w:eastAsia="Times New Roman" w:hAnsi="Times New Roman" w:cs="Times New Roman"/>
                <w:spacing w:val="1"/>
                <w:sz w:val="24"/>
                <w:szCs w:val="24"/>
                <w:lang w:eastAsia="ar-SA"/>
              </w:rPr>
              <w:t xml:space="preserve"> Учасник підтверджує наявність головного інженера та виконроба з наданням посвідчення перевірки знань з питань охорони праці.</w:t>
            </w:r>
          </w:p>
          <w:p w14:paraId="37FCD59E"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xml:space="preserve">2.3. </w:t>
            </w:r>
            <w:r>
              <w:rPr>
                <w:rFonts w:ascii="Times New Roman" w:eastAsia="Times New Roman" w:hAnsi="Times New Roman" w:cs="Times New Roman"/>
                <w:spacing w:val="1"/>
                <w:sz w:val="24"/>
                <w:szCs w:val="24"/>
                <w:lang w:eastAsia="ar-SA"/>
              </w:rPr>
              <w:t xml:space="preserve">Головний інженер </w:t>
            </w:r>
            <w:r w:rsidRPr="00127795">
              <w:rPr>
                <w:rFonts w:ascii="Times New Roman" w:eastAsia="Times New Roman" w:hAnsi="Times New Roman" w:cs="Times New Roman"/>
                <w:spacing w:val="1"/>
                <w:sz w:val="24"/>
                <w:szCs w:val="24"/>
                <w:lang w:eastAsia="ar-SA"/>
              </w:rPr>
              <w:t>повин</w:t>
            </w:r>
            <w:r>
              <w:rPr>
                <w:rFonts w:ascii="Times New Roman" w:eastAsia="Times New Roman" w:hAnsi="Times New Roman" w:cs="Times New Roman"/>
                <w:spacing w:val="1"/>
                <w:sz w:val="24"/>
                <w:szCs w:val="24"/>
                <w:lang w:eastAsia="ar-SA"/>
              </w:rPr>
              <w:t>ен</w:t>
            </w:r>
            <w:r w:rsidRPr="00127795">
              <w:rPr>
                <w:rFonts w:ascii="Times New Roman" w:eastAsia="Times New Roman" w:hAnsi="Times New Roman" w:cs="Times New Roman"/>
                <w:spacing w:val="1"/>
                <w:sz w:val="24"/>
                <w:szCs w:val="24"/>
                <w:lang w:eastAsia="ar-SA"/>
              </w:rPr>
              <w:t xml:space="preserve"> мати посвідчення по охороні праці з наступними нормативами:</w:t>
            </w:r>
          </w:p>
          <w:p w14:paraId="799BD979"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експлуатації електроустановок споживачів, ПБЕЕС (ПАОП 40.1-1.21-98);</w:t>
            </w:r>
          </w:p>
          <w:p w14:paraId="6AF2F74F"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експлуатації електроустановок (НПАОП 40.1-1.01-97);</w:t>
            </w:r>
          </w:p>
          <w:p w14:paraId="06067163"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xml:space="preserve">- Правила охорони праці під час виконання робіт на висоті (НПАОП 0.00-1.15-07); </w:t>
            </w:r>
          </w:p>
          <w:p w14:paraId="403894CB"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роботи з інструментом та пристроями (НПАОП 0.00-1.71-13);</w:t>
            </w:r>
          </w:p>
          <w:p w14:paraId="55B10191"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Вимоги безпеки та захисту здоров’я під час використання виробничого обладнання  працівниками (НПАОП 0.00-7.14-17);</w:t>
            </w:r>
          </w:p>
          <w:p w14:paraId="0295FF02"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Мінімальні вимоги з охорони праці на тимчасових або мобільних будівельних майданчиках (НПАОП 45.2-7.03-17);</w:t>
            </w:r>
          </w:p>
          <w:p w14:paraId="4F648F58"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Система стандартів безпеки праці Охорона праці і промислова безпека у будівництві, ДБН А.3.2-2-2009 (НПАОП 45.2-7.02-12);</w:t>
            </w:r>
          </w:p>
          <w:p w14:paraId="5FDC15D6"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охорони праці під час експлуатації вантажопідіймальних кранів, підіймальних пристроїв і відповідного обладнання (НПАОП 0.00-1.80-18);</w:t>
            </w:r>
          </w:p>
          <w:p w14:paraId="193E8EAF"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охорони праці під час вантажно-розвантажувальних робіт (НПАОП 0.00-1.75-15);</w:t>
            </w:r>
          </w:p>
          <w:p w14:paraId="0FF47E2F"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охорони праці під час експлуатації обладнання, що працює під тиском (НПАОП 0.00-1.81-18);</w:t>
            </w:r>
          </w:p>
          <w:p w14:paraId="319983CD"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Мінімальні вимоги безпеки і охорони здоров’я при використанні працівниками засобів індивідуального захисту на робочому місці (НПАОП 0.00-7.17-18);</w:t>
            </w:r>
          </w:p>
          <w:p w14:paraId="69622830"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експлуатації житлових і громадських будівель (НПАОП 45.21-1.04-79);</w:t>
            </w:r>
          </w:p>
          <w:p w14:paraId="75AC95AC"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Загальні вимоги стосовно забезпечення роботодавцями охорони праці працівників (НПАОП 0.00-7.11-12).</w:t>
            </w:r>
          </w:p>
          <w:p w14:paraId="78F6D853" w14:textId="77777777" w:rsidR="00BD1952" w:rsidRPr="00127795" w:rsidRDefault="00BD1952" w:rsidP="00BD195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Учасник надає д</w:t>
            </w:r>
            <w:r w:rsidRPr="00127795">
              <w:rPr>
                <w:rFonts w:ascii="Times New Roman" w:eastAsia="Times New Roman" w:hAnsi="Times New Roman" w:cs="Times New Roman"/>
                <w:sz w:val="24"/>
                <w:szCs w:val="24"/>
              </w:rPr>
              <w:t>окументи, що підтверджують навчання</w:t>
            </w:r>
            <w:r>
              <w:rPr>
                <w:rFonts w:ascii="Times New Roman" w:eastAsia="Times New Roman" w:hAnsi="Times New Roman" w:cs="Times New Roman"/>
                <w:sz w:val="24"/>
                <w:szCs w:val="24"/>
              </w:rPr>
              <w:t xml:space="preserve"> усіх</w:t>
            </w:r>
            <w:r w:rsidRPr="00127795">
              <w:rPr>
                <w:rFonts w:ascii="Times New Roman" w:eastAsia="Times New Roman" w:hAnsi="Times New Roman" w:cs="Times New Roman"/>
                <w:sz w:val="24"/>
                <w:szCs w:val="24"/>
              </w:rPr>
              <w:t xml:space="preserve"> зазначених інженерно-технічних працівників</w:t>
            </w:r>
            <w:r>
              <w:rPr>
                <w:rFonts w:ascii="Times New Roman" w:eastAsia="Times New Roman" w:hAnsi="Times New Roman" w:cs="Times New Roman"/>
                <w:sz w:val="24"/>
                <w:szCs w:val="24"/>
              </w:rPr>
              <w:t xml:space="preserve"> (ІТП) та </w:t>
            </w:r>
            <w:r w:rsidRPr="009F734F">
              <w:rPr>
                <w:rFonts w:ascii="Times New Roman" w:eastAsia="Times New Roman" w:hAnsi="Times New Roman" w:cs="Times New Roman"/>
                <w:sz w:val="24"/>
                <w:szCs w:val="24"/>
              </w:rPr>
              <w:t>працівників робочих професій</w:t>
            </w:r>
            <w:r w:rsidRPr="00127795">
              <w:rPr>
                <w:rFonts w:ascii="Times New Roman" w:eastAsia="Times New Roman" w:hAnsi="Times New Roman" w:cs="Times New Roman"/>
                <w:sz w:val="24"/>
                <w:szCs w:val="24"/>
              </w:rPr>
              <w:t xml:space="preserve"> з питань охорони праці, в тому числі керівника підприємства</w:t>
            </w:r>
            <w:r>
              <w:rPr>
                <w:rFonts w:ascii="Times New Roman" w:eastAsia="Times New Roman" w:hAnsi="Times New Roman" w:cs="Times New Roman"/>
                <w:sz w:val="24"/>
                <w:szCs w:val="24"/>
              </w:rPr>
              <w:t>,</w:t>
            </w:r>
            <w:r w:rsidRPr="008A57DA">
              <w:t xml:space="preserve"> </w:t>
            </w:r>
            <w:r w:rsidRPr="008A57DA">
              <w:rPr>
                <w:rFonts w:ascii="Times New Roman" w:eastAsia="Times New Roman" w:hAnsi="Times New Roman" w:cs="Times New Roman"/>
                <w:sz w:val="24"/>
                <w:szCs w:val="24"/>
              </w:rPr>
              <w:t>та копії дипломів ІТП.</w:t>
            </w:r>
          </w:p>
          <w:p w14:paraId="30D5D746" w14:textId="77777777" w:rsidR="00BD1952" w:rsidRDefault="00BD1952" w:rsidP="00BD195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Надані посвідчення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p>
          <w:p w14:paraId="16B05A4B" w14:textId="77777777" w:rsidR="00BD1952" w:rsidRPr="00127795" w:rsidRDefault="00BD1952" w:rsidP="00BD1952">
            <w:pPr>
              <w:suppressAutoHyphens/>
              <w:spacing w:after="0" w:line="240" w:lineRule="auto"/>
              <w:jc w:val="both"/>
              <w:rPr>
                <w:rFonts w:ascii="Times New Roman" w:eastAsia="Times New Roman" w:hAnsi="Times New Roman" w:cs="Times New Roman"/>
                <w:sz w:val="24"/>
                <w:szCs w:val="24"/>
              </w:rPr>
            </w:pPr>
            <w:r w:rsidRPr="009F734F">
              <w:rPr>
                <w:rFonts w:ascii="Times New Roman" w:eastAsia="Times New Roman" w:hAnsi="Times New Roman" w:cs="Times New Roman"/>
                <w:sz w:val="24"/>
                <w:szCs w:val="24"/>
              </w:rPr>
              <w:t>Усі посвідчення про перевірку знань з питань охорони праці (посвідчення про право виконання робіт з підвищеною небезпекою)</w:t>
            </w:r>
            <w:r>
              <w:rPr>
                <w:rFonts w:ascii="Times New Roman" w:eastAsia="Times New Roman" w:hAnsi="Times New Roman" w:cs="Times New Roman"/>
                <w:sz w:val="24"/>
                <w:szCs w:val="24"/>
              </w:rPr>
              <w:t xml:space="preserve"> </w:t>
            </w:r>
            <w:r w:rsidRPr="009F734F">
              <w:rPr>
                <w:rFonts w:ascii="Times New Roman" w:eastAsia="Times New Roman" w:hAnsi="Times New Roman" w:cs="Times New Roman"/>
                <w:sz w:val="24"/>
                <w:szCs w:val="24"/>
              </w:rPr>
              <w:t>мають бути видані спеціалізованими центрами.</w:t>
            </w:r>
          </w:p>
          <w:p w14:paraId="0684BC20" w14:textId="77777777" w:rsidR="00BD1952" w:rsidRDefault="00BD1952" w:rsidP="00BD195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2.5. Учасник надає копії витягів з трудових книжок або копії трудових договорів, або копії наказів про прийняття на роботу, або копії цивільно-правових угод, зазначених працівників робітничих професій, що підтверджують факт правовідносин.</w:t>
            </w:r>
          </w:p>
          <w:p w14:paraId="6C601E0F" w14:textId="77777777" w:rsidR="00BD1952" w:rsidRDefault="00BD1952" w:rsidP="00BD19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Учасник надає </w:t>
            </w:r>
            <w:r w:rsidRPr="006D58F7">
              <w:rPr>
                <w:rFonts w:ascii="Times New Roman" w:eastAsia="Times New Roman" w:hAnsi="Times New Roman" w:cs="Times New Roman"/>
                <w:sz w:val="24"/>
                <w:szCs w:val="24"/>
              </w:rPr>
              <w:t xml:space="preserve">копію звіту з праці (форма №1–ПВ) </w:t>
            </w:r>
            <w:r w:rsidRPr="005A7541">
              <w:rPr>
                <w:rFonts w:ascii="Times New Roman" w:eastAsia="Times New Roman" w:hAnsi="Times New Roman" w:cs="Times New Roman"/>
                <w:sz w:val="24"/>
                <w:szCs w:val="24"/>
              </w:rPr>
              <w:t xml:space="preserve">за останній звітній період органу статистики до якого подається, або офіційний лист від </w:t>
            </w:r>
            <w:proofErr w:type="spellStart"/>
            <w:r w:rsidRPr="005A7541">
              <w:rPr>
                <w:rFonts w:ascii="Times New Roman" w:eastAsia="Times New Roman" w:hAnsi="Times New Roman" w:cs="Times New Roman"/>
                <w:sz w:val="24"/>
                <w:szCs w:val="24"/>
              </w:rPr>
              <w:t>органа</w:t>
            </w:r>
            <w:proofErr w:type="spellEnd"/>
            <w:r w:rsidRPr="005A7541">
              <w:rPr>
                <w:rFonts w:ascii="Times New Roman" w:eastAsia="Times New Roman" w:hAnsi="Times New Roman" w:cs="Times New Roman"/>
                <w:sz w:val="24"/>
                <w:szCs w:val="24"/>
              </w:rPr>
              <w:t xml:space="preserve"> статистики про те, що даний </w:t>
            </w:r>
            <w:r w:rsidRPr="005A7541">
              <w:rPr>
                <w:rFonts w:ascii="Times New Roman" w:eastAsia="Times New Roman" w:hAnsi="Times New Roman" w:cs="Times New Roman"/>
                <w:sz w:val="24"/>
                <w:szCs w:val="24"/>
              </w:rPr>
              <w:lastRenderedPageBreak/>
              <w:t>учасник не звітує за даною формою</w:t>
            </w:r>
            <w:r>
              <w:rPr>
                <w:rFonts w:ascii="Times New Roman" w:eastAsia="Times New Roman" w:hAnsi="Times New Roman" w:cs="Times New Roman"/>
                <w:sz w:val="24"/>
                <w:szCs w:val="24"/>
              </w:rPr>
              <w:t>,</w:t>
            </w:r>
            <w:r w:rsidRPr="005A7541">
              <w:rPr>
                <w:rFonts w:ascii="Times New Roman" w:eastAsia="Times New Roman" w:hAnsi="Times New Roman" w:cs="Times New Roman"/>
                <w:sz w:val="24"/>
                <w:szCs w:val="24"/>
              </w:rPr>
              <w:t xml:space="preserve"> та копію штатного розпису</w:t>
            </w:r>
            <w:r>
              <w:rPr>
                <w:rFonts w:ascii="Times New Roman" w:eastAsia="Times New Roman" w:hAnsi="Times New Roman" w:cs="Times New Roman"/>
                <w:sz w:val="24"/>
                <w:szCs w:val="24"/>
              </w:rPr>
              <w:t>.</w:t>
            </w:r>
          </w:p>
          <w:p w14:paraId="14D3DD3B" w14:textId="77777777" w:rsidR="00BD1952" w:rsidRDefault="00BD1952" w:rsidP="00BD19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необхідно надати наступні документи:</w:t>
            </w:r>
          </w:p>
          <w:p w14:paraId="18649749"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екологічного управління, виданого Учаснику органом сертифікації, та зміст такого сертифікату повинен підтверджувати відповідність системи екологічного управління Учасника (згідно видів діяльності, що належать до сфери будівництва) вимогам ДСТУ ISO 14001:2015 (ISO 14001:2015, IDT) «Системи екологічного управління. Вимоги та настанови щодо застосовування» (сертифікат має бути чинним; виданими органом з сертифікації (далі – ОС) (органом з оцінки відповідності, далі - ООВ), який акредитований в установленому порядку Національним агентством з акредитації України (НААУ) та сфера акредитації якого містить будівництво – на підтвердження надати сферу акредитації ОС (ООВ), завірену органом з оцінки відповідності); </w:t>
            </w:r>
          </w:p>
          <w:p w14:paraId="660C8DE7"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управління </w:t>
            </w:r>
            <w:proofErr w:type="spellStart"/>
            <w:r w:rsidRPr="004D7AFF">
              <w:rPr>
                <w:rFonts w:ascii="Times New Roman" w:eastAsia="Times New Roman" w:hAnsi="Times New Roman" w:cs="Times New Roman"/>
                <w:sz w:val="24"/>
                <w:szCs w:val="24"/>
                <w:lang w:eastAsia="ru-RU" w:bidi="hi-IN"/>
              </w:rPr>
              <w:t>якостю</w:t>
            </w:r>
            <w:proofErr w:type="spellEnd"/>
            <w:r w:rsidRPr="004D7AFF">
              <w:rPr>
                <w:rFonts w:ascii="Times New Roman" w:eastAsia="Times New Roman" w:hAnsi="Times New Roman" w:cs="Times New Roman"/>
                <w:sz w:val="24"/>
                <w:szCs w:val="24"/>
                <w:lang w:eastAsia="ru-RU" w:bidi="hi-IN"/>
              </w:rPr>
              <w:t xml:space="preserve">, виданого Учаснику органом сертифікації, та зміст такого сертифікату повинен підтверджувати відповідність системи управління </w:t>
            </w:r>
            <w:proofErr w:type="spellStart"/>
            <w:r w:rsidRPr="004D7AFF">
              <w:rPr>
                <w:rFonts w:ascii="Times New Roman" w:eastAsia="Times New Roman" w:hAnsi="Times New Roman" w:cs="Times New Roman"/>
                <w:sz w:val="24"/>
                <w:szCs w:val="24"/>
                <w:lang w:eastAsia="ru-RU" w:bidi="hi-IN"/>
              </w:rPr>
              <w:t>якостю</w:t>
            </w:r>
            <w:proofErr w:type="spellEnd"/>
            <w:r w:rsidRPr="004D7AFF">
              <w:rPr>
                <w:rFonts w:ascii="Times New Roman" w:eastAsia="Times New Roman" w:hAnsi="Times New Roman" w:cs="Times New Roman"/>
                <w:sz w:val="24"/>
                <w:szCs w:val="24"/>
                <w:lang w:eastAsia="ru-RU" w:bidi="hi-IN"/>
              </w:rPr>
              <w:t xml:space="preserve"> Учасника (згідно видів діяльності, що належать до сфери будівництва) вимогам ДСТУ EN ISO 9001:2018 (EN ISO 9001:2015, IDT; ISO 9001:2015, IDT) «Системи управління якістю. Вимоги»</w:t>
            </w:r>
            <w:r w:rsidRPr="004D7AFF">
              <w:rPr>
                <w:rFonts w:eastAsia="Times New Roman" w:cs="Times New Roman"/>
              </w:rPr>
              <w:t xml:space="preserve"> </w:t>
            </w:r>
            <w:r w:rsidRPr="004D7AFF">
              <w:rPr>
                <w:rFonts w:ascii="Times New Roman" w:eastAsia="Times New Roman" w:hAnsi="Times New Roman" w:cs="Times New Roman"/>
                <w:sz w:val="24"/>
                <w:szCs w:val="24"/>
                <w:lang w:eastAsia="ru-RU" w:bidi="hi-IN"/>
              </w:rPr>
              <w:t>(сертифікат має бути чинним; виданими органом з сертифікації (далі – ОС) (органом з оцінки відповідності, далі - ООВ), який акредитований в установленому порядку Національним агентством з акредитації України (НААУ) та сфера акредитації якого містить будівництво – на підтвердження надати сферу акредитації ОС (ООВ), завірену  органом з оцінки відповідності);</w:t>
            </w:r>
          </w:p>
          <w:p w14:paraId="0AACD494"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управління охороною </w:t>
            </w:r>
            <w:proofErr w:type="spellStart"/>
            <w:r w:rsidRPr="004D7AFF">
              <w:rPr>
                <w:rFonts w:ascii="Times New Roman" w:eastAsia="Times New Roman" w:hAnsi="Times New Roman" w:cs="Times New Roman"/>
                <w:sz w:val="24"/>
                <w:szCs w:val="24"/>
                <w:lang w:eastAsia="ru-RU" w:bidi="hi-IN"/>
              </w:rPr>
              <w:t>здоровя</w:t>
            </w:r>
            <w:proofErr w:type="spellEnd"/>
            <w:r w:rsidRPr="004D7AFF">
              <w:rPr>
                <w:rFonts w:ascii="Times New Roman" w:eastAsia="Times New Roman" w:hAnsi="Times New Roman" w:cs="Times New Roman"/>
                <w:sz w:val="24"/>
                <w:szCs w:val="24"/>
                <w:lang w:eastAsia="ru-RU" w:bidi="hi-IN"/>
              </w:rPr>
              <w:t xml:space="preserve"> та безпекою праці, виданого Учаснику органом сертифікації, та зміст такого сертифікату повинен підтверджувати відповідність системи управління охороною </w:t>
            </w:r>
            <w:proofErr w:type="spellStart"/>
            <w:r w:rsidRPr="004D7AFF">
              <w:rPr>
                <w:rFonts w:ascii="Times New Roman" w:eastAsia="Times New Roman" w:hAnsi="Times New Roman" w:cs="Times New Roman"/>
                <w:sz w:val="24"/>
                <w:szCs w:val="24"/>
                <w:lang w:eastAsia="ru-RU" w:bidi="hi-IN"/>
              </w:rPr>
              <w:t>здоровя</w:t>
            </w:r>
            <w:proofErr w:type="spellEnd"/>
            <w:r w:rsidRPr="004D7AFF">
              <w:rPr>
                <w:rFonts w:ascii="Times New Roman" w:eastAsia="Times New Roman" w:hAnsi="Times New Roman" w:cs="Times New Roman"/>
                <w:sz w:val="24"/>
                <w:szCs w:val="24"/>
                <w:lang w:eastAsia="ru-RU" w:bidi="hi-IN"/>
              </w:rPr>
              <w:t xml:space="preserve"> та безпекою праці Учасника (згідно видів діяльності, що належать до сфери будівництва) вимогам ДСТУ ISO 45001:2019 (ISO 45001:2018, IDT) «Системи управління охороною здоров´я та безпекою праці. Вимоги та настанови щодо застосування» (сертифікат має бути чинним; виданими органом з сертифікації (далі – ОС) (органом з оцінки відповідності, далі - ООВ), який акредитований в установленому порядку Національним агентством з акредитації України (НААУ) та сфера акредитації якого містить будівництво – на підтвердження надати сферу акредитації ОС (ООВ), завірену органом з оцінки відповідності);</w:t>
            </w:r>
          </w:p>
          <w:p w14:paraId="2363D655"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управління щодо протидії корупції, виданого Учаснику органом сертифікації, та зміст такого сертифікату повинен підтверджувати відповідність системи управління щодо протидії корупції Учасника (згідно видів діяльності, що належать до сфери </w:t>
            </w:r>
            <w:r w:rsidRPr="004D7AFF">
              <w:rPr>
                <w:rFonts w:ascii="Times New Roman" w:eastAsia="Times New Roman" w:hAnsi="Times New Roman" w:cs="Times New Roman"/>
                <w:sz w:val="24"/>
                <w:szCs w:val="24"/>
                <w:lang w:eastAsia="ru-RU" w:bidi="hi-IN"/>
              </w:rPr>
              <w:lastRenderedPageBreak/>
              <w:t>будівництва) вимогам ДСТУ ISO 37001: 2018 (ISO 37001:2016, IDT) «Системи управління щодо протидії корупції. Вимоги та настанови щодо застосування» ”(сертифікат має бути чинним);</w:t>
            </w:r>
          </w:p>
          <w:p w14:paraId="482246EE" w14:textId="77777777" w:rsidR="00BD1952" w:rsidRDefault="00BD1952" w:rsidP="00BD1952">
            <w:pPr>
              <w:spacing w:after="0" w:line="240" w:lineRule="auto"/>
            </w:pPr>
            <w:r w:rsidRPr="004D7AFF">
              <w:rPr>
                <w:rFonts w:ascii="Times New Roman" w:eastAsia="Times New Roman" w:hAnsi="Times New Roman" w:cs="Times New Roman"/>
                <w:sz w:val="24"/>
                <w:szCs w:val="24"/>
                <w:lang w:eastAsia="ru-RU" w:bidi="hi-IN"/>
              </w:rPr>
              <w:t>З метою підтвердження відповідності якості робіт Учасник у складі тендерної пропозиції також має надати посвідчення внутрішнього аудитора систем управління якістю згідно з вимогами ДСТУ ISO 9001:2015, ДСТУ EN ISO 9001:2018.</w:t>
            </w:r>
          </w:p>
          <w:p w14:paraId="5193FD80" w14:textId="35583AC8" w:rsidR="00BD1952" w:rsidRPr="00001007" w:rsidRDefault="00BD1952" w:rsidP="00BD1952">
            <w:pPr>
              <w:spacing w:after="0"/>
              <w:ind w:left="-78"/>
              <w:jc w:val="both"/>
              <w:rPr>
                <w:rFonts w:ascii="Times New Roman" w:hAnsi="Times New Roman" w:cs="Times New Roman"/>
                <w:color w:val="000000"/>
                <w:sz w:val="24"/>
                <w:szCs w:val="24"/>
              </w:rPr>
            </w:pPr>
          </w:p>
        </w:tc>
      </w:tr>
      <w:tr w:rsidR="005C1DA2"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1EDADA5B" w:rsidR="005C1DA2" w:rsidRDefault="005C1DA2" w:rsidP="005C1DA2">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5C1DA2" w:rsidRPr="003F262E" w:rsidRDefault="005C1DA2" w:rsidP="005C1DA2">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7D1B15C0" w14:textId="77777777" w:rsidR="005C1DA2" w:rsidRPr="00895484" w:rsidRDefault="005C1DA2" w:rsidP="005C1DA2">
            <w:pPr>
              <w:widowControl w:val="0"/>
              <w:tabs>
                <w:tab w:val="left" w:pos="1080"/>
              </w:tabs>
              <w:autoSpaceDE w:val="0"/>
              <w:autoSpaceDN w:val="0"/>
              <w:adjustRightInd w:val="0"/>
              <w:spacing w:after="0" w:line="240" w:lineRule="auto"/>
              <w:jc w:val="both"/>
              <w:rPr>
                <w:rFonts w:ascii="Times New Roman" w:hAnsi="Times New Roman"/>
                <w:sz w:val="24"/>
                <w:szCs w:val="24"/>
                <w:lang w:eastAsia="zh-CN"/>
              </w:rPr>
            </w:pPr>
            <w:r w:rsidRPr="00895484">
              <w:rPr>
                <w:rFonts w:ascii="Times New Roman" w:hAnsi="Times New Roman"/>
                <w:color w:val="000000"/>
                <w:sz w:val="24"/>
                <w:szCs w:val="24"/>
              </w:rPr>
              <w:t>3.1. Довідка на фірмовому бланку (</w:t>
            </w:r>
            <w:r w:rsidRPr="00895484">
              <w:rPr>
                <w:rFonts w:ascii="Times New Roman" w:hAnsi="Times New Roman"/>
                <w:i/>
                <w:color w:val="000000"/>
                <w:sz w:val="24"/>
                <w:szCs w:val="24"/>
              </w:rPr>
              <w:t>у разі наявності  такого бланку</w:t>
            </w:r>
            <w:r w:rsidRPr="00895484">
              <w:rPr>
                <w:rFonts w:ascii="Times New Roman" w:hAnsi="Times New Roman"/>
                <w:color w:val="000000"/>
                <w:sz w:val="24"/>
                <w:szCs w:val="24"/>
              </w:rPr>
              <w:t>) в довільній формі, що містить інформацію про наявність в Учасника досвіду виконання аналогічних договорів</w:t>
            </w:r>
            <w:r w:rsidRPr="00895484">
              <w:rPr>
                <w:rFonts w:ascii="Times New Roman" w:hAnsi="Times New Roman"/>
                <w:sz w:val="24"/>
                <w:szCs w:val="24"/>
                <w:lang w:eastAsia="zh-CN"/>
              </w:rPr>
              <w:t>.</w:t>
            </w:r>
          </w:p>
          <w:p w14:paraId="131E5BDE" w14:textId="77777777" w:rsidR="005C1DA2" w:rsidRPr="005C1DA2" w:rsidRDefault="005C1DA2" w:rsidP="005C1DA2">
            <w:pPr>
              <w:widowControl w:val="0"/>
              <w:tabs>
                <w:tab w:val="left" w:pos="1080"/>
              </w:tabs>
              <w:autoSpaceDE w:val="0"/>
              <w:autoSpaceDN w:val="0"/>
              <w:adjustRightInd w:val="0"/>
              <w:spacing w:after="0" w:line="240" w:lineRule="auto"/>
              <w:jc w:val="both"/>
              <w:rPr>
                <w:rFonts w:ascii="Times New Roman" w:hAnsi="Times New Roman"/>
                <w:sz w:val="24"/>
                <w:szCs w:val="24"/>
              </w:rPr>
            </w:pPr>
            <w:r w:rsidRPr="00CF0FC8">
              <w:rPr>
                <w:rFonts w:ascii="Times New Roman" w:hAnsi="Times New Roman"/>
                <w:sz w:val="24"/>
                <w:szCs w:val="24"/>
              </w:rPr>
              <w:t>Примітка:</w:t>
            </w:r>
            <w:r w:rsidRPr="005C1DA2">
              <w:rPr>
                <w:rFonts w:ascii="Times New Roman" w:hAnsi="Times New Roman"/>
                <w:sz w:val="24"/>
                <w:szCs w:val="24"/>
              </w:rPr>
              <w:t xml:space="preserve"> під аналогічним договором розуміється повністю виконаний (завершений) договір, укладений не раніше </w:t>
            </w:r>
            <w:r w:rsidRPr="005C1DA2">
              <w:rPr>
                <w:rFonts w:ascii="Times New Roman" w:hAnsi="Times New Roman"/>
                <w:b/>
                <w:sz w:val="24"/>
                <w:szCs w:val="24"/>
              </w:rPr>
              <w:t>2021</w:t>
            </w:r>
            <w:r w:rsidRPr="005C1DA2">
              <w:rPr>
                <w:rFonts w:ascii="Times New Roman" w:hAnsi="Times New Roman"/>
                <w:sz w:val="24"/>
                <w:szCs w:val="24"/>
              </w:rPr>
              <w:t xml:space="preserve"> року на виконання робіт з нового будівництва загальною сумою виконання робіт за даним (ми) договором (</w:t>
            </w:r>
            <w:proofErr w:type="spellStart"/>
            <w:r w:rsidRPr="005C1DA2">
              <w:rPr>
                <w:rFonts w:ascii="Times New Roman" w:hAnsi="Times New Roman"/>
                <w:sz w:val="24"/>
                <w:szCs w:val="24"/>
              </w:rPr>
              <w:t>ами</w:t>
            </w:r>
            <w:proofErr w:type="spellEnd"/>
            <w:r w:rsidRPr="005C1DA2">
              <w:rPr>
                <w:rFonts w:ascii="Times New Roman" w:hAnsi="Times New Roman"/>
                <w:sz w:val="24"/>
                <w:szCs w:val="24"/>
              </w:rPr>
              <w:t xml:space="preserve">) не менше 15 (п’ятнадцяти) мільйонів гривень, за яким (ми) виконувались аналогічні роботи.  </w:t>
            </w:r>
          </w:p>
          <w:p w14:paraId="0EB70388" w14:textId="77777777" w:rsidR="005C1DA2" w:rsidRPr="00895484" w:rsidRDefault="005C1DA2" w:rsidP="005C1DA2">
            <w:pPr>
              <w:widowControl w:val="0"/>
              <w:spacing w:after="0" w:line="240" w:lineRule="auto"/>
              <w:jc w:val="both"/>
              <w:rPr>
                <w:rFonts w:ascii="Times New Roman" w:hAnsi="Times New Roman"/>
                <w:sz w:val="24"/>
                <w:szCs w:val="24"/>
                <w:lang w:eastAsia="ru-RU"/>
              </w:rPr>
            </w:pPr>
            <w:r w:rsidRPr="00895484">
              <w:rPr>
                <w:rFonts w:ascii="Times New Roman" w:hAnsi="Times New Roman"/>
                <w:sz w:val="24"/>
                <w:szCs w:val="24"/>
                <w:lang w:eastAsia="ru-RU"/>
              </w:rPr>
              <w:t>Для підтвердження факту виконання аналогічного договору</w:t>
            </w:r>
            <w:r>
              <w:rPr>
                <w:rFonts w:ascii="Times New Roman" w:hAnsi="Times New Roman"/>
                <w:sz w:val="24"/>
                <w:szCs w:val="24"/>
                <w:lang w:eastAsia="ru-RU"/>
              </w:rPr>
              <w:t xml:space="preserve"> (</w:t>
            </w:r>
            <w:proofErr w:type="spellStart"/>
            <w:r>
              <w:rPr>
                <w:rFonts w:ascii="Times New Roman" w:hAnsi="Times New Roman"/>
                <w:sz w:val="24"/>
                <w:szCs w:val="24"/>
                <w:lang w:eastAsia="ru-RU"/>
              </w:rPr>
              <w:t>ів</w:t>
            </w:r>
            <w:proofErr w:type="spellEnd"/>
            <w:r>
              <w:rPr>
                <w:rFonts w:ascii="Times New Roman" w:hAnsi="Times New Roman"/>
                <w:sz w:val="24"/>
                <w:szCs w:val="24"/>
                <w:lang w:eastAsia="ru-RU"/>
              </w:rPr>
              <w:t>)</w:t>
            </w:r>
            <w:r w:rsidRPr="00895484">
              <w:rPr>
                <w:rFonts w:ascii="Times New Roman" w:hAnsi="Times New Roman"/>
                <w:sz w:val="24"/>
                <w:szCs w:val="24"/>
                <w:lang w:eastAsia="ru-RU"/>
              </w:rPr>
              <w:t xml:space="preserve"> Учасник повинен надати копії зазначених аналогічних договорів</w:t>
            </w:r>
            <w:r>
              <w:rPr>
                <w:rFonts w:ascii="Times New Roman" w:hAnsi="Times New Roman"/>
                <w:sz w:val="24"/>
                <w:szCs w:val="24"/>
                <w:lang w:eastAsia="ru-RU"/>
              </w:rPr>
              <w:t xml:space="preserve"> (договору)</w:t>
            </w:r>
            <w:r w:rsidRPr="00895484">
              <w:rPr>
                <w:rFonts w:ascii="Times New Roman" w:hAnsi="Times New Roman"/>
                <w:sz w:val="24"/>
                <w:szCs w:val="24"/>
                <w:lang w:eastAsia="ru-RU"/>
              </w:rPr>
              <w:t xml:space="preserve"> та інформаці</w:t>
            </w:r>
            <w:r>
              <w:rPr>
                <w:rFonts w:ascii="Times New Roman" w:hAnsi="Times New Roman"/>
                <w:sz w:val="24"/>
                <w:szCs w:val="24"/>
                <w:lang w:eastAsia="ru-RU"/>
              </w:rPr>
              <w:t>ю</w:t>
            </w:r>
            <w:r w:rsidRPr="00895484">
              <w:rPr>
                <w:rFonts w:ascii="Times New Roman" w:hAnsi="Times New Roman"/>
                <w:sz w:val="24"/>
                <w:szCs w:val="24"/>
                <w:lang w:eastAsia="ru-RU"/>
              </w:rPr>
              <w:t xml:space="preserve"> про виконання договору</w:t>
            </w:r>
            <w:r>
              <w:rPr>
                <w:rFonts w:ascii="Times New Roman" w:hAnsi="Times New Roman"/>
                <w:sz w:val="24"/>
                <w:szCs w:val="24"/>
                <w:lang w:eastAsia="ru-RU"/>
              </w:rPr>
              <w:t>, а саме учасником над</w:t>
            </w:r>
            <w:r w:rsidRPr="00895484">
              <w:rPr>
                <w:rFonts w:ascii="Times New Roman" w:hAnsi="Times New Roman"/>
                <w:sz w:val="24"/>
                <w:szCs w:val="24"/>
                <w:lang w:eastAsia="ru-RU"/>
              </w:rPr>
              <w:t>а</w:t>
            </w:r>
            <w:r>
              <w:rPr>
                <w:rFonts w:ascii="Times New Roman" w:hAnsi="Times New Roman"/>
                <w:sz w:val="24"/>
                <w:szCs w:val="24"/>
                <w:lang w:eastAsia="ru-RU"/>
              </w:rPr>
              <w:t>є</w:t>
            </w:r>
            <w:r w:rsidRPr="00895484">
              <w:rPr>
                <w:rFonts w:ascii="Times New Roman" w:hAnsi="Times New Roman"/>
                <w:sz w:val="24"/>
                <w:szCs w:val="24"/>
                <w:lang w:eastAsia="ru-RU"/>
              </w:rPr>
              <w:t>ться</w:t>
            </w:r>
            <w:r>
              <w:rPr>
                <w:rFonts w:ascii="Times New Roman" w:hAnsi="Times New Roman"/>
                <w:sz w:val="24"/>
                <w:szCs w:val="24"/>
                <w:lang w:eastAsia="ru-RU"/>
              </w:rPr>
              <w:t xml:space="preserve"> підсумкова заключна</w:t>
            </w:r>
            <w:r w:rsidRPr="00895484">
              <w:rPr>
                <w:rFonts w:ascii="Times New Roman" w:hAnsi="Times New Roman"/>
                <w:sz w:val="24"/>
                <w:szCs w:val="24"/>
                <w:lang w:eastAsia="ru-RU"/>
              </w:rPr>
              <w:t xml:space="preserve"> довідк</w:t>
            </w:r>
            <w:r>
              <w:rPr>
                <w:rFonts w:ascii="Times New Roman" w:hAnsi="Times New Roman"/>
                <w:sz w:val="24"/>
                <w:szCs w:val="24"/>
                <w:lang w:eastAsia="ru-RU"/>
              </w:rPr>
              <w:t>а</w:t>
            </w:r>
            <w:r w:rsidRPr="00895484">
              <w:rPr>
                <w:rFonts w:ascii="Times New Roman" w:hAnsi="Times New Roman"/>
                <w:sz w:val="24"/>
                <w:szCs w:val="24"/>
                <w:lang w:eastAsia="ru-RU"/>
              </w:rPr>
              <w:t xml:space="preserve"> форми КБ–3</w:t>
            </w:r>
            <w:r>
              <w:rPr>
                <w:rFonts w:ascii="Times New Roman" w:hAnsi="Times New Roman"/>
                <w:sz w:val="24"/>
                <w:szCs w:val="24"/>
                <w:lang w:eastAsia="ru-RU"/>
              </w:rPr>
              <w:t xml:space="preserve"> </w:t>
            </w:r>
            <w:r w:rsidRPr="00895484">
              <w:rPr>
                <w:rFonts w:ascii="Times New Roman" w:hAnsi="Times New Roman"/>
                <w:sz w:val="24"/>
                <w:szCs w:val="24"/>
                <w:lang w:eastAsia="ru-RU"/>
              </w:rPr>
              <w:t>що підтверджу</w:t>
            </w:r>
            <w:r>
              <w:rPr>
                <w:rFonts w:ascii="Times New Roman" w:hAnsi="Times New Roman"/>
                <w:sz w:val="24"/>
                <w:szCs w:val="24"/>
                <w:lang w:eastAsia="ru-RU"/>
              </w:rPr>
              <w:t>є</w:t>
            </w:r>
            <w:r w:rsidRPr="00895484">
              <w:rPr>
                <w:rFonts w:ascii="Times New Roman" w:hAnsi="Times New Roman"/>
                <w:sz w:val="24"/>
                <w:szCs w:val="24"/>
                <w:lang w:eastAsia="ru-RU"/>
              </w:rPr>
              <w:t xml:space="preserve"> приймання–передачу (виконання) </w:t>
            </w:r>
            <w:r>
              <w:rPr>
                <w:rFonts w:ascii="Times New Roman" w:hAnsi="Times New Roman"/>
                <w:sz w:val="24"/>
                <w:szCs w:val="24"/>
                <w:lang w:eastAsia="ru-RU"/>
              </w:rPr>
              <w:t>робіт</w:t>
            </w:r>
            <w:r w:rsidRPr="00895484">
              <w:rPr>
                <w:rFonts w:ascii="Times New Roman" w:hAnsi="Times New Roman"/>
                <w:sz w:val="24"/>
                <w:szCs w:val="24"/>
                <w:lang w:eastAsia="ru-RU"/>
              </w:rPr>
              <w:t xml:space="preserve"> в повному обсязі згідно даних договорів.</w:t>
            </w:r>
          </w:p>
          <w:p w14:paraId="08ED735F" w14:textId="1E0F2E82" w:rsidR="005C1DA2" w:rsidRDefault="005C1DA2" w:rsidP="005C1DA2">
            <w:pPr>
              <w:tabs>
                <w:tab w:val="left" w:pos="1080"/>
              </w:tabs>
              <w:spacing w:after="0"/>
              <w:ind w:firstLine="284"/>
              <w:jc w:val="both"/>
              <w:rPr>
                <w:color w:val="FF0000"/>
                <w:sz w:val="24"/>
                <w:szCs w:val="24"/>
              </w:rPr>
            </w:pPr>
            <w:r w:rsidRPr="00895484">
              <w:rPr>
                <w:rFonts w:ascii="Times New Roman" w:hAnsi="Times New Roman"/>
                <w:sz w:val="24"/>
                <w:szCs w:val="24"/>
                <w:lang w:eastAsia="ru-RU"/>
              </w:rPr>
              <w:t xml:space="preserve">Під аналогічними розуміються договори співставні за складом та характером роботи </w:t>
            </w:r>
            <w:r w:rsidRPr="005C21DE">
              <w:rPr>
                <w:rFonts w:ascii="Times New Roman" w:hAnsi="Times New Roman"/>
                <w:sz w:val="24"/>
                <w:szCs w:val="24"/>
                <w:lang w:eastAsia="ru-RU"/>
              </w:rPr>
              <w:t>з</w:t>
            </w:r>
            <w:r>
              <w:rPr>
                <w:rFonts w:ascii="Times New Roman" w:hAnsi="Times New Roman"/>
                <w:sz w:val="24"/>
                <w:szCs w:val="24"/>
                <w:lang w:eastAsia="ru-RU"/>
              </w:rPr>
              <w:t xml:space="preserve"> нового</w:t>
            </w:r>
            <w:r w:rsidRPr="005C21DE">
              <w:rPr>
                <w:rFonts w:ascii="Times New Roman" w:hAnsi="Times New Roman"/>
                <w:sz w:val="24"/>
                <w:szCs w:val="24"/>
                <w:lang w:eastAsia="ru-RU"/>
              </w:rPr>
              <w:t xml:space="preserve"> будівництва будівель</w:t>
            </w:r>
            <w:r>
              <w:rPr>
                <w:rFonts w:ascii="Times New Roman" w:hAnsi="Times New Roman"/>
                <w:sz w:val="24"/>
                <w:szCs w:val="24"/>
                <w:lang w:eastAsia="ru-RU"/>
              </w:rPr>
              <w:t xml:space="preserve"> та споруд</w:t>
            </w:r>
            <w:r w:rsidRPr="00895484">
              <w:rPr>
                <w:rFonts w:ascii="Times New Roman" w:hAnsi="Times New Roman"/>
                <w:sz w:val="24"/>
                <w:szCs w:val="24"/>
                <w:lang w:eastAsia="ru-RU"/>
              </w:rPr>
              <w:t>.</w:t>
            </w: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4A9C821F"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775E61">
              <w:rPr>
                <w:rFonts w:ascii="Times New Roman" w:hAnsi="Times New Roman"/>
                <w:sz w:val="24"/>
                <w:szCs w:val="24"/>
                <w:lang w:val="uk-UA"/>
              </w:rPr>
              <w:t>30</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002718B1" w14:textId="5E86E3F0" w:rsidR="00295A31" w:rsidRPr="0031621A" w:rsidRDefault="00C2533B">
      <w:pPr>
        <w:tabs>
          <w:tab w:val="left" w:pos="1080"/>
        </w:tabs>
        <w:rPr>
          <w:b/>
        </w:rPr>
      </w:pPr>
      <w:r>
        <w:rPr>
          <w:b/>
        </w:rPr>
        <w:t>2</w:t>
      </w:r>
      <w:r w:rsidR="00D62C3C" w:rsidRPr="0031621A">
        <w:rPr>
          <w:b/>
        </w:rPr>
        <w:t>.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 xml:space="preserve">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w:t>
            </w:r>
            <w:r w:rsidRPr="0031621A">
              <w:rPr>
                <w:rFonts w:ascii="Times New Roman" w:hAnsi="Times New Roman" w:cs="Times New Roman"/>
                <w:sz w:val="24"/>
                <w:szCs w:val="24"/>
              </w:rPr>
              <w:lastRenderedPageBreak/>
              <w:t>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66CC0D6E" w14:textId="77777777" w:rsidR="00295A31" w:rsidRDefault="00295A31">
            <w:pPr>
              <w:spacing w:after="0"/>
              <w:ind w:firstLine="284"/>
              <w:jc w:val="both"/>
            </w:pPr>
          </w:p>
          <w:p w14:paraId="3D2C3457" w14:textId="77777777" w:rsidR="0004242C" w:rsidRDefault="0004242C">
            <w:pPr>
              <w:spacing w:after="0"/>
              <w:ind w:firstLine="284"/>
              <w:jc w:val="both"/>
            </w:pPr>
          </w:p>
          <w:p w14:paraId="47F2BFC0" w14:textId="77777777" w:rsidR="0004242C" w:rsidRPr="0031621A" w:rsidRDefault="0004242C">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 xml:space="preserve">Надання згоди на використання інформації на виконання вимог  Закону України «Про </w:t>
            </w:r>
            <w:r w:rsidRPr="00241081">
              <w:rPr>
                <w:rFonts w:ascii="Times New Roman" w:hAnsi="Times New Roman" w:cs="Times New Roman"/>
                <w:sz w:val="24"/>
                <w:szCs w:val="24"/>
              </w:rPr>
              <w:lastRenderedPageBreak/>
              <w:t>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lastRenderedPageBreak/>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0AD2" w14:textId="77777777" w:rsidR="006218F9" w:rsidRDefault="006218F9">
      <w:pPr>
        <w:spacing w:after="0" w:line="240" w:lineRule="auto"/>
      </w:pPr>
      <w:r>
        <w:separator/>
      </w:r>
    </w:p>
  </w:endnote>
  <w:endnote w:type="continuationSeparator" w:id="0">
    <w:p w14:paraId="41D984BE" w14:textId="77777777" w:rsidR="006218F9" w:rsidRDefault="0062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5C1DA2" w:rsidRDefault="005C1DA2">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5C1DA2" w:rsidRDefault="005C1DA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5C1DA2" w:rsidRDefault="005C1DA2">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CF0FC8">
      <w:rPr>
        <w:rStyle w:val="aff"/>
        <w:noProof/>
      </w:rPr>
      <w:t>2</w:t>
    </w:r>
    <w:r>
      <w:rPr>
        <w:rStyle w:val="aff"/>
      </w:rPr>
      <w:fldChar w:fldCharType="end"/>
    </w:r>
  </w:p>
  <w:p w14:paraId="232FC64D" w14:textId="77777777" w:rsidR="005C1DA2" w:rsidRDefault="005C1DA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84396" w14:textId="77777777" w:rsidR="006218F9" w:rsidRDefault="006218F9">
      <w:pPr>
        <w:spacing w:after="0" w:line="240" w:lineRule="auto"/>
      </w:pPr>
      <w:r>
        <w:separator/>
      </w:r>
    </w:p>
  </w:footnote>
  <w:footnote w:type="continuationSeparator" w:id="0">
    <w:p w14:paraId="429378AC" w14:textId="77777777" w:rsidR="006218F9" w:rsidRDefault="0062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33EF"/>
    <w:rsid w:val="00035970"/>
    <w:rsid w:val="0004242C"/>
    <w:rsid w:val="00046D80"/>
    <w:rsid w:val="00047C6E"/>
    <w:rsid w:val="00052A74"/>
    <w:rsid w:val="000570FB"/>
    <w:rsid w:val="000768F4"/>
    <w:rsid w:val="00080CB7"/>
    <w:rsid w:val="00094475"/>
    <w:rsid w:val="00095806"/>
    <w:rsid w:val="000A39AA"/>
    <w:rsid w:val="000A520C"/>
    <w:rsid w:val="000B22AA"/>
    <w:rsid w:val="000B6013"/>
    <w:rsid w:val="000C4BB1"/>
    <w:rsid w:val="000D1DC1"/>
    <w:rsid w:val="000E38C5"/>
    <w:rsid w:val="00101DC9"/>
    <w:rsid w:val="00110E19"/>
    <w:rsid w:val="0011286F"/>
    <w:rsid w:val="00154BB0"/>
    <w:rsid w:val="00155AFF"/>
    <w:rsid w:val="0018011F"/>
    <w:rsid w:val="00195642"/>
    <w:rsid w:val="001C0982"/>
    <w:rsid w:val="001D48CA"/>
    <w:rsid w:val="001D6AB0"/>
    <w:rsid w:val="001E3300"/>
    <w:rsid w:val="001E3CE8"/>
    <w:rsid w:val="00206B6F"/>
    <w:rsid w:val="00235C09"/>
    <w:rsid w:val="0023654E"/>
    <w:rsid w:val="00241081"/>
    <w:rsid w:val="00245777"/>
    <w:rsid w:val="00264387"/>
    <w:rsid w:val="0026770B"/>
    <w:rsid w:val="002863EB"/>
    <w:rsid w:val="002942C3"/>
    <w:rsid w:val="00295A31"/>
    <w:rsid w:val="002B186E"/>
    <w:rsid w:val="002C05A2"/>
    <w:rsid w:val="002C2CA7"/>
    <w:rsid w:val="00302B77"/>
    <w:rsid w:val="00310DAD"/>
    <w:rsid w:val="00314173"/>
    <w:rsid w:val="0031621A"/>
    <w:rsid w:val="0032192A"/>
    <w:rsid w:val="00361321"/>
    <w:rsid w:val="00361823"/>
    <w:rsid w:val="00366AEF"/>
    <w:rsid w:val="00372863"/>
    <w:rsid w:val="00374340"/>
    <w:rsid w:val="00384305"/>
    <w:rsid w:val="00390427"/>
    <w:rsid w:val="0039180D"/>
    <w:rsid w:val="003C4DEC"/>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3DFE"/>
    <w:rsid w:val="004A6177"/>
    <w:rsid w:val="004B2406"/>
    <w:rsid w:val="004B759D"/>
    <w:rsid w:val="004E6F6E"/>
    <w:rsid w:val="0050787C"/>
    <w:rsid w:val="00542F7E"/>
    <w:rsid w:val="00545724"/>
    <w:rsid w:val="00546221"/>
    <w:rsid w:val="005560FF"/>
    <w:rsid w:val="005607D3"/>
    <w:rsid w:val="00562547"/>
    <w:rsid w:val="0056727E"/>
    <w:rsid w:val="00567ACA"/>
    <w:rsid w:val="005831E7"/>
    <w:rsid w:val="0058546A"/>
    <w:rsid w:val="005958E9"/>
    <w:rsid w:val="00597073"/>
    <w:rsid w:val="005A442A"/>
    <w:rsid w:val="005C0FE6"/>
    <w:rsid w:val="005C1DA2"/>
    <w:rsid w:val="005D3CBB"/>
    <w:rsid w:val="005F4BB1"/>
    <w:rsid w:val="00603BB7"/>
    <w:rsid w:val="006218F9"/>
    <w:rsid w:val="00625BE9"/>
    <w:rsid w:val="0063007E"/>
    <w:rsid w:val="00660707"/>
    <w:rsid w:val="0067679E"/>
    <w:rsid w:val="00681F60"/>
    <w:rsid w:val="0069259E"/>
    <w:rsid w:val="006B1959"/>
    <w:rsid w:val="006B2A98"/>
    <w:rsid w:val="006B5CD0"/>
    <w:rsid w:val="006D115F"/>
    <w:rsid w:val="006E6935"/>
    <w:rsid w:val="006F1D6C"/>
    <w:rsid w:val="006F25F8"/>
    <w:rsid w:val="006F5CDD"/>
    <w:rsid w:val="0070622D"/>
    <w:rsid w:val="0071747C"/>
    <w:rsid w:val="00726304"/>
    <w:rsid w:val="00726898"/>
    <w:rsid w:val="007572EE"/>
    <w:rsid w:val="00760448"/>
    <w:rsid w:val="00775E61"/>
    <w:rsid w:val="007862D2"/>
    <w:rsid w:val="00786C6C"/>
    <w:rsid w:val="00787ED7"/>
    <w:rsid w:val="0079081D"/>
    <w:rsid w:val="007A2950"/>
    <w:rsid w:val="007A3135"/>
    <w:rsid w:val="007C1CF1"/>
    <w:rsid w:val="007D1F6A"/>
    <w:rsid w:val="007E289A"/>
    <w:rsid w:val="007E770C"/>
    <w:rsid w:val="007F12A0"/>
    <w:rsid w:val="007F2586"/>
    <w:rsid w:val="00804B9D"/>
    <w:rsid w:val="008063D3"/>
    <w:rsid w:val="00815ADE"/>
    <w:rsid w:val="0082155A"/>
    <w:rsid w:val="00832C64"/>
    <w:rsid w:val="00833BE4"/>
    <w:rsid w:val="0083453F"/>
    <w:rsid w:val="0086510F"/>
    <w:rsid w:val="00874786"/>
    <w:rsid w:val="0087588D"/>
    <w:rsid w:val="00896E68"/>
    <w:rsid w:val="00897E9A"/>
    <w:rsid w:val="008B1F5E"/>
    <w:rsid w:val="008B3034"/>
    <w:rsid w:val="008C5CC2"/>
    <w:rsid w:val="0090416B"/>
    <w:rsid w:val="00906074"/>
    <w:rsid w:val="0091389C"/>
    <w:rsid w:val="0094443B"/>
    <w:rsid w:val="009714E2"/>
    <w:rsid w:val="00971F48"/>
    <w:rsid w:val="00973A28"/>
    <w:rsid w:val="00973F64"/>
    <w:rsid w:val="00977E4E"/>
    <w:rsid w:val="00983B59"/>
    <w:rsid w:val="00985184"/>
    <w:rsid w:val="009A3758"/>
    <w:rsid w:val="009D69E7"/>
    <w:rsid w:val="009E73A0"/>
    <w:rsid w:val="009F3417"/>
    <w:rsid w:val="009F4986"/>
    <w:rsid w:val="00A03C8C"/>
    <w:rsid w:val="00A260D2"/>
    <w:rsid w:val="00A27281"/>
    <w:rsid w:val="00A3385E"/>
    <w:rsid w:val="00A43DAC"/>
    <w:rsid w:val="00A52EAA"/>
    <w:rsid w:val="00A543BC"/>
    <w:rsid w:val="00A60CDC"/>
    <w:rsid w:val="00A6161B"/>
    <w:rsid w:val="00A66456"/>
    <w:rsid w:val="00A700C5"/>
    <w:rsid w:val="00A75C71"/>
    <w:rsid w:val="00A8383C"/>
    <w:rsid w:val="00AC3866"/>
    <w:rsid w:val="00AC620A"/>
    <w:rsid w:val="00AE6FB9"/>
    <w:rsid w:val="00AF41C8"/>
    <w:rsid w:val="00B00BAD"/>
    <w:rsid w:val="00B100A2"/>
    <w:rsid w:val="00B178B9"/>
    <w:rsid w:val="00B2035F"/>
    <w:rsid w:val="00B44970"/>
    <w:rsid w:val="00B61C54"/>
    <w:rsid w:val="00B66EE8"/>
    <w:rsid w:val="00B67D40"/>
    <w:rsid w:val="00B856D3"/>
    <w:rsid w:val="00BC2C89"/>
    <w:rsid w:val="00BD131B"/>
    <w:rsid w:val="00BD1952"/>
    <w:rsid w:val="00BD395E"/>
    <w:rsid w:val="00BE3C20"/>
    <w:rsid w:val="00BE4F33"/>
    <w:rsid w:val="00BE66B8"/>
    <w:rsid w:val="00BF3BDA"/>
    <w:rsid w:val="00C033EA"/>
    <w:rsid w:val="00C2158F"/>
    <w:rsid w:val="00C2533B"/>
    <w:rsid w:val="00C355CB"/>
    <w:rsid w:val="00C363D7"/>
    <w:rsid w:val="00C377CC"/>
    <w:rsid w:val="00C37E19"/>
    <w:rsid w:val="00C426B9"/>
    <w:rsid w:val="00C4775B"/>
    <w:rsid w:val="00C5008F"/>
    <w:rsid w:val="00C5246D"/>
    <w:rsid w:val="00C52D5C"/>
    <w:rsid w:val="00C660B1"/>
    <w:rsid w:val="00C6740A"/>
    <w:rsid w:val="00C83538"/>
    <w:rsid w:val="00C85912"/>
    <w:rsid w:val="00C9683F"/>
    <w:rsid w:val="00CA5D42"/>
    <w:rsid w:val="00CB4042"/>
    <w:rsid w:val="00CB527F"/>
    <w:rsid w:val="00CD2359"/>
    <w:rsid w:val="00CF0FC8"/>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7438"/>
    <w:rsid w:val="00DE3EF9"/>
    <w:rsid w:val="00DF258F"/>
    <w:rsid w:val="00E00AD8"/>
    <w:rsid w:val="00E03918"/>
    <w:rsid w:val="00E13C1C"/>
    <w:rsid w:val="00E14F99"/>
    <w:rsid w:val="00E15DE5"/>
    <w:rsid w:val="00E33CA3"/>
    <w:rsid w:val="00E665A4"/>
    <w:rsid w:val="00E749D1"/>
    <w:rsid w:val="00E75475"/>
    <w:rsid w:val="00E91411"/>
    <w:rsid w:val="00EA06DA"/>
    <w:rsid w:val="00EA0E82"/>
    <w:rsid w:val="00EB4D9A"/>
    <w:rsid w:val="00EC0956"/>
    <w:rsid w:val="00EC0C25"/>
    <w:rsid w:val="00ED76F9"/>
    <w:rsid w:val="00EE3152"/>
    <w:rsid w:val="00F006BB"/>
    <w:rsid w:val="00F23493"/>
    <w:rsid w:val="00F30A49"/>
    <w:rsid w:val="00F337C2"/>
    <w:rsid w:val="00F346A1"/>
    <w:rsid w:val="00F461C0"/>
    <w:rsid w:val="00F4732F"/>
    <w:rsid w:val="00F514C8"/>
    <w:rsid w:val="00F64D1E"/>
    <w:rsid w:val="00F77912"/>
    <w:rsid w:val="00F96EB1"/>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2.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3.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4.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5.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6.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7.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8.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9.xml><?xml version="1.0" encoding="utf-8"?>
<ds:datastoreItem xmlns:ds="http://schemas.openxmlformats.org/officeDocument/2006/customXml" ds:itemID="{F8992D1A-E556-400A-9E73-E922F873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53124</Words>
  <Characters>30282</Characters>
  <Application>Microsoft Office Word</Application>
  <DocSecurity>0</DocSecurity>
  <Lines>252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25</cp:revision>
  <cp:lastPrinted>2023-04-13T06:40:00Z</cp:lastPrinted>
  <dcterms:created xsi:type="dcterms:W3CDTF">2023-08-30T10:46:00Z</dcterms:created>
  <dcterms:modified xsi:type="dcterms:W3CDTF">2023-08-31T11:23:00Z</dcterms:modified>
</cp:coreProperties>
</file>