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jc w:val="right"/>
        <w:rPr>
          <w:sz w:val="24"/>
          <w:szCs w:val="24"/>
        </w:rPr>
      </w:pPr>
      <w:r>
        <w:rPr/>
      </w:r>
    </w:p>
    <w:p>
      <w:pPr>
        <w:pStyle w:val="Normal"/>
        <w:widowControl w:val="false"/>
        <w:spacing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before="0" w:after="0"/>
        <w:jc w:val="center"/>
        <w:rPr>
          <w:sz w:val="24"/>
          <w:szCs w:val="24"/>
        </w:rPr>
      </w:pPr>
      <w:r>
        <w:rPr>
          <w:rFonts w:ascii="Times New Roman" w:hAnsi="Times New Roman"/>
          <w:b/>
          <w:bCs/>
          <w:sz w:val="24"/>
          <w:szCs w:val="24"/>
        </w:rPr>
        <w:t>ПРО</w:t>
      </w:r>
      <w:r>
        <w:rPr>
          <w:rFonts w:ascii="Times New Roman" w:hAnsi="Times New Roman"/>
          <w:b/>
          <w:bCs/>
          <w:sz w:val="24"/>
          <w:szCs w:val="24"/>
        </w:rPr>
        <w:t>Є</w:t>
      </w:r>
      <w:r>
        <w:rPr>
          <w:rFonts w:ascii="Times New Roman" w:hAnsi="Times New Roman"/>
          <w:b/>
          <w:bCs/>
          <w:sz w:val="24"/>
          <w:szCs w:val="24"/>
        </w:rPr>
        <w:t>КТ ДОГОВОРУ ПРО ЗАКУПІВЛЮ</w:t>
      </w:r>
    </w:p>
    <w:p>
      <w:pPr>
        <w:pStyle w:val="Normal"/>
        <w:widowControl w:val="false"/>
        <w:spacing w:before="0" w:after="0"/>
        <w:jc w:val="center"/>
        <w:rPr>
          <w:sz w:val="24"/>
          <w:szCs w:val="24"/>
        </w:rPr>
      </w:pPr>
      <w:r>
        <w:rPr>
          <w:rFonts w:ascii="Times New Roman" w:hAnsi="Times New Roman"/>
          <w:b/>
          <w:bCs/>
          <w:sz w:val="24"/>
          <w:szCs w:val="24"/>
        </w:rPr>
        <w:t>ДОГОВІР ПРО ЗАКУПІВЛЮ №</w:t>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left"/>
        <w:rPr>
          <w:sz w:val="24"/>
          <w:szCs w:val="24"/>
        </w:rPr>
      </w:pPr>
      <w:r>
        <w:rPr>
          <w:rFonts w:ascii="Times New Roman" w:hAnsi="Times New Roman"/>
          <w:b/>
          <w:bCs/>
          <w:sz w:val="24"/>
          <w:szCs w:val="24"/>
          <w:lang w:val="uk-UA"/>
        </w:rPr>
        <w:t xml:space="preserve">м. Кам’янець - Подільський                                                       </w:t>
      </w:r>
      <w:r>
        <w:rPr>
          <w:rFonts w:ascii="Times New Roman" w:hAnsi="Times New Roman"/>
          <w:b/>
          <w:bCs/>
          <w:sz w:val="24"/>
          <w:szCs w:val="24"/>
        </w:rPr>
        <w:t xml:space="preserve"> «___» ____________ 202</w:t>
      </w:r>
      <w:r>
        <w:rPr>
          <w:rFonts w:ascii="Times New Roman" w:hAnsi="Times New Roman"/>
          <w:b/>
          <w:bCs/>
          <w:sz w:val="24"/>
          <w:szCs w:val="24"/>
          <w:lang w:val="uk-UA"/>
        </w:rPr>
        <w:t>4</w:t>
      </w:r>
      <w:r>
        <w:rPr>
          <w:rFonts w:ascii="Times New Roman" w:hAnsi="Times New Roman"/>
          <w:b/>
          <w:bCs/>
          <w:sz w:val="24"/>
          <w:szCs w:val="24"/>
        </w:rPr>
        <w:t xml:space="preserve"> р.</w:t>
      </w:r>
    </w:p>
    <w:p>
      <w:pPr>
        <w:pStyle w:val="Normal"/>
        <w:widowControl w:val="false"/>
        <w:spacing w:before="0" w:after="0"/>
        <w:jc w:val="right"/>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both"/>
        <w:rPr>
          <w:sz w:val="24"/>
          <w:szCs w:val="24"/>
        </w:rPr>
      </w:pPr>
      <w:r>
        <w:rPr>
          <w:rFonts w:ascii="Times New Roman" w:hAnsi="Times New Roman"/>
          <w:b/>
          <w:bCs/>
          <w:sz w:val="24"/>
          <w:szCs w:val="24"/>
        </w:rPr>
        <w:t xml:space="preserve"> </w:t>
      </w:r>
      <w:r>
        <w:rPr>
          <w:rFonts w:ascii="Times New Roman" w:hAnsi="Times New Roman"/>
          <w:b/>
          <w:bCs/>
          <w:sz w:val="24"/>
          <w:szCs w:val="24"/>
          <w:shd w:fill="FFFFFF" w:val="clear"/>
          <w:lang w:val="uk-UA"/>
        </w:rPr>
        <w:t>Довжоцький  будинок-інтернат для громадян похилого віку та осіб з інвалідністю</w:t>
      </w:r>
      <w:r>
        <w:rPr>
          <w:rFonts w:ascii="Times New Roman" w:hAnsi="Times New Roman"/>
          <w:b/>
          <w:bCs/>
          <w:sz w:val="24"/>
          <w:szCs w:val="24"/>
          <w:shd w:fill="FFFFFF" w:val="clear"/>
          <w:lang w:val="en-US"/>
        </w:rPr>
        <w:t xml:space="preserve">  </w:t>
      </w:r>
      <w:r>
        <w:rPr>
          <w:rFonts w:ascii="Times New Roman" w:hAnsi="Times New Roman"/>
          <w:b/>
          <w:bCs/>
          <w:sz w:val="24"/>
          <w:szCs w:val="24"/>
          <w:shd w:fill="FFFFFF" w:val="clear"/>
          <w:lang w:val="uk-UA"/>
        </w:rPr>
        <w:t xml:space="preserve"> </w:t>
      </w:r>
      <w:r>
        <w:rPr>
          <w:rFonts w:ascii="Times New Roman" w:hAnsi="Times New Roman"/>
          <w:b/>
          <w:bCs/>
          <w:sz w:val="24"/>
          <w:szCs w:val="24"/>
          <w:shd w:fill="FFFFFF" w:val="clear"/>
        </w:rPr>
        <w:t xml:space="preserve"> </w:t>
      </w:r>
      <w:r>
        <w:rPr>
          <w:rFonts w:ascii="Times New Roman" w:hAnsi="Times New Roman"/>
          <w:bCs/>
          <w:sz w:val="24"/>
          <w:szCs w:val="24"/>
          <w:shd w:fill="FFFFFF" w:val="clear"/>
        </w:rPr>
        <w:t>в</w:t>
      </w:r>
      <w:r>
        <w:rPr>
          <w:rFonts w:ascii="Times New Roman" w:hAnsi="Times New Roman"/>
          <w:b/>
          <w:bCs/>
          <w:sz w:val="24"/>
          <w:szCs w:val="24"/>
          <w:shd w:fill="FFFFFF" w:val="clear"/>
        </w:rPr>
        <w:t xml:space="preserve"> </w:t>
      </w:r>
      <w:r>
        <w:rPr>
          <w:rFonts w:ascii="Times New Roman" w:hAnsi="Times New Roman"/>
          <w:sz w:val="24"/>
          <w:szCs w:val="24"/>
        </w:rPr>
        <w:t xml:space="preserve"> особі </w:t>
      </w:r>
      <w:r>
        <w:rPr>
          <w:rFonts w:ascii="Times New Roman" w:hAnsi="Times New Roman"/>
          <w:sz w:val="24"/>
          <w:szCs w:val="24"/>
          <w:lang w:val="uk-UA"/>
        </w:rPr>
        <w:t>директора Желізник Галини Дмитрівни</w:t>
      </w:r>
      <w:r>
        <w:rPr>
          <w:rFonts w:ascii="Times New Roman" w:hAnsi="Times New Roman"/>
          <w:sz w:val="24"/>
          <w:szCs w:val="24"/>
        </w:rPr>
        <w:t xml:space="preserve">, що діє на підставі </w:t>
      </w:r>
      <w:r>
        <w:rPr>
          <w:rFonts w:ascii="Times New Roman" w:hAnsi="Times New Roman"/>
          <w:sz w:val="24"/>
          <w:szCs w:val="24"/>
          <w:lang w:val="uk-UA"/>
        </w:rPr>
        <w:t>Статуту</w:t>
      </w:r>
      <w:r>
        <w:rPr>
          <w:rFonts w:ascii="Times New Roman" w:hAnsi="Times New Roman"/>
          <w:sz w:val="24"/>
          <w:szCs w:val="24"/>
        </w:rPr>
        <w:t xml:space="preserve"> (далі – </w:t>
      </w:r>
      <w:r>
        <w:rPr>
          <w:rFonts w:ascii="Times New Roman" w:hAnsi="Times New Roman"/>
          <w:b/>
          <w:bCs/>
          <w:sz w:val="24"/>
          <w:szCs w:val="24"/>
        </w:rPr>
        <w:t>«Замовник»</w:t>
      </w:r>
      <w:r>
        <w:rPr>
          <w:rFonts w:ascii="Times New Roman" w:hAnsi="Times New Roman"/>
          <w:bCs/>
          <w:sz w:val="24"/>
          <w:szCs w:val="24"/>
        </w:rPr>
        <w:t>)</w:t>
      </w:r>
      <w:r>
        <w:rPr>
          <w:rFonts w:ascii="Times New Roman" w:hAnsi="Times New Roman"/>
          <w:sz w:val="24"/>
          <w:szCs w:val="24"/>
        </w:rPr>
        <w:t>, з однієї сторони, та __________________________ в особі ___________________, діючого на підставі ____________ (далі – «</w:t>
      </w:r>
      <w:r>
        <w:rPr>
          <w:rFonts w:ascii="Times New Roman" w:hAnsi="Times New Roman"/>
          <w:b/>
          <w:bCs/>
          <w:sz w:val="24"/>
          <w:szCs w:val="24"/>
        </w:rPr>
        <w:t>Постачальник»</w:t>
      </w:r>
      <w:r>
        <w:rPr>
          <w:rFonts w:ascii="Times New Roman" w:hAnsi="Times New Roman"/>
          <w:bCs/>
          <w:sz w:val="24"/>
          <w:szCs w:val="24"/>
        </w:rPr>
        <w:t>),</w:t>
      </w:r>
      <w:r>
        <w:rPr>
          <w:rFonts w:ascii="Times New Roman" w:hAnsi="Times New Roman"/>
          <w:sz w:val="24"/>
          <w:szCs w:val="24"/>
        </w:rPr>
        <w:t xml:space="preserve"> з іншої сторони, разом – </w:t>
      </w:r>
      <w:r>
        <w:rPr>
          <w:rFonts w:ascii="Times New Roman" w:hAnsi="Times New Roman"/>
          <w:b/>
          <w:bCs/>
          <w:sz w:val="24"/>
          <w:szCs w:val="24"/>
        </w:rPr>
        <w:t>«Сторони»</w:t>
      </w:r>
      <w:r>
        <w:rPr>
          <w:rFonts w:ascii="Times New Roman" w:hAnsi="Times New Roman"/>
          <w:sz w:val="24"/>
          <w:szCs w:val="24"/>
        </w:rPr>
        <w:t xml:space="preserve">, уклали цей Договір про закупівлю про наступне </w:t>
      </w:r>
      <w:r>
        <w:rPr>
          <w:rFonts w:ascii="Times New Roman" w:hAnsi="Times New Roman"/>
          <w:b/>
          <w:sz w:val="24"/>
          <w:szCs w:val="24"/>
          <w:lang w:eastAsia="uk-UA"/>
        </w:rPr>
        <w:t>(далі - Договір</w:t>
      </w:r>
      <w:r>
        <w:rPr>
          <w:rFonts w:ascii="Times New Roman" w:hAnsi="Times New Roman"/>
          <w:sz w:val="24"/>
          <w:szCs w:val="24"/>
          <w:lang w:eastAsia="uk-UA"/>
        </w:rPr>
        <w:t>)</w:t>
      </w:r>
      <w:r>
        <w:rPr>
          <w:rFonts w:ascii="Times New Roman" w:hAnsi="Times New Roman"/>
          <w:sz w:val="24"/>
          <w:szCs w:val="24"/>
        </w:rPr>
        <w:t xml:space="preserve">: </w:t>
      </w:r>
    </w:p>
    <w:p>
      <w:pPr>
        <w:pStyle w:val="Normal"/>
        <w:widowControl w:val="false"/>
        <w:spacing w:before="0" w:after="0"/>
        <w:ind w:firstLine="708"/>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sz w:val="24"/>
          <w:szCs w:val="24"/>
        </w:rPr>
      </w:pPr>
      <w:r>
        <w:rPr>
          <w:rFonts w:ascii="Times New Roman" w:hAnsi="Times New Roman"/>
          <w:b/>
          <w:bCs/>
          <w:spacing w:val="-1"/>
          <w:sz w:val="24"/>
          <w:szCs w:val="24"/>
        </w:rPr>
        <w:t>1. ПРЕДМЕТ ДОГОВОРУ</w:t>
      </w:r>
    </w:p>
    <w:p>
      <w:pPr>
        <w:pStyle w:val="Normal"/>
        <w:widowControl w:val="false"/>
        <w:spacing w:lineRule="auto" w:line="240" w:before="0" w:after="0"/>
        <w:jc w:val="both"/>
        <w:rPr>
          <w:sz w:val="24"/>
          <w:szCs w:val="24"/>
        </w:rPr>
      </w:pPr>
      <w:r>
        <w:rPr>
          <w:sz w:val="24"/>
          <w:szCs w:val="24"/>
        </w:rPr>
        <w:tab/>
      </w:r>
      <w:r>
        <w:rPr>
          <w:rFonts w:ascii="Times New Roman" w:hAnsi="Times New Roman"/>
          <w:sz w:val="24"/>
          <w:szCs w:val="24"/>
        </w:rPr>
        <w:t xml:space="preserve">    1.1. Постачальник зобов’язується поставити Замовнику товар</w:t>
      </w:r>
      <w:r>
        <w:rPr>
          <w:rFonts w:ascii="Times New Roman" w:hAnsi="Times New Roman"/>
          <w:sz w:val="24"/>
          <w:szCs w:val="24"/>
          <w:lang w:val="uk-UA"/>
        </w:rPr>
        <w:t xml:space="preserve"> — </w:t>
      </w:r>
      <w:r>
        <w:rPr>
          <w:rFonts w:eastAsia="Arial" w:cs="Times New Roman" w:ascii="Times New Roman" w:hAnsi="Times New Roman"/>
          <w:b/>
          <w:bCs/>
          <w:i w:val="false"/>
          <w:iCs w:val="false"/>
          <w:color w:val="000000" w:themeColor="text1"/>
          <w:kern w:val="0"/>
          <w:sz w:val="24"/>
          <w:szCs w:val="24"/>
          <w:highlight w:val="white"/>
          <w:shd w:fill="FFFFFF" w:val="clear"/>
          <w:lang w:val="uk-UA" w:eastAsia="ar-SA" w:bidi="ar-SA"/>
        </w:rPr>
        <w:t>Овочі та фрукти</w:t>
      </w:r>
      <w:r>
        <w:rPr>
          <w:rFonts w:eastAsia="Arial" w:cs="Times New Roman" w:ascii="Cambria" w:hAnsi="Cambria"/>
          <w:b/>
          <w:bCs/>
          <w:i w:val="false"/>
          <w:iCs w:val="false"/>
          <w:color w:val="000000"/>
          <w:kern w:val="0"/>
          <w:sz w:val="24"/>
          <w:szCs w:val="24"/>
          <w:highlight w:val="white"/>
          <w:shd w:fill="FFFFFF" w:val="clear"/>
          <w:lang w:val="uk-UA" w:eastAsia="ar-SA" w:bidi="ar-SA"/>
        </w:rPr>
        <w:t>: буряк, капуста качанна (молода), капуста качанна (урожай 2023), апельсини, лимони, банани (Код ДК 021:2015 (</w:t>
      </w:r>
      <w:r>
        <w:rPr>
          <w:rFonts w:eastAsia="Arial" w:cs="Times New Roman" w:ascii="Cambria" w:hAnsi="Cambria"/>
          <w:b/>
          <w:bCs/>
          <w:i w:val="false"/>
          <w:iCs w:val="false"/>
          <w:color w:val="000000"/>
          <w:kern w:val="0"/>
          <w:sz w:val="24"/>
          <w:szCs w:val="24"/>
          <w:highlight w:val="white"/>
          <w:shd w:fill="FFFFFF" w:val="clear"/>
          <w:lang w:val="en-US" w:eastAsia="ar-SA" w:bidi="ar-SA"/>
        </w:rPr>
        <w:t>CPV</w:t>
      </w:r>
      <w:r>
        <w:rPr>
          <w:rFonts w:eastAsia="Arial" w:cs="Times New Roman" w:ascii="Cambria" w:hAnsi="Cambria"/>
          <w:b/>
          <w:bCs/>
          <w:i w:val="false"/>
          <w:iCs w:val="false"/>
          <w:color w:val="000000"/>
          <w:kern w:val="0"/>
          <w:sz w:val="24"/>
          <w:szCs w:val="24"/>
          <w:highlight w:val="white"/>
          <w:shd w:fill="FFFFFF" w:val="clear"/>
          <w:lang w:val="uk-UA" w:eastAsia="ar-SA" w:bidi="ar-SA"/>
        </w:rPr>
        <w:t xml:space="preserve">):  - 03220000-9 - Овочі, фрукти та горіхи,  деталізований код: </w:t>
      </w:r>
      <w:r>
        <w:rPr>
          <w:rFonts w:eastAsia="Arial" w:cs="Times New Roman" w:ascii="Times New Roman" w:hAnsi="Times New Roman"/>
          <w:b/>
          <w:bCs/>
          <w:i w:val="false"/>
          <w:iCs w:val="false"/>
          <w:color w:val="000000"/>
          <w:kern w:val="0"/>
          <w:sz w:val="24"/>
          <w:szCs w:val="24"/>
          <w:highlight w:val="white"/>
          <w:shd w:fill="FFFFFF" w:val="clear"/>
          <w:lang w:val="uk-UA" w:eastAsia="ar-SA" w:bidi="ar-SA"/>
        </w:rPr>
        <w:t>03221410-3 – Капуста качанна; 03221111 – 7 – Буряк;</w:t>
      </w:r>
      <w:r>
        <w:rPr>
          <w:rFonts w:eastAsia="Arial" w:cs="Times New Roman" w:ascii="Cambria" w:hAnsi="Cambria"/>
          <w:b/>
          <w:bCs/>
          <w:i w:val="false"/>
          <w:iCs w:val="false"/>
          <w:color w:val="000000"/>
          <w:kern w:val="0"/>
          <w:sz w:val="24"/>
          <w:szCs w:val="24"/>
          <w:highlight w:val="white"/>
          <w:shd w:fill="FFFFFF" w:val="clear"/>
          <w:lang w:val="uk-UA" w:eastAsia="ar-SA" w:bidi="ar-SA"/>
        </w:rPr>
        <w:t xml:space="preserve"> 03222220 – 1 – Апельсини;  03222210-8 – Лимони; 03222111 – 4 – Банани)</w:t>
      </w:r>
      <w:r>
        <w:rPr>
          <w:rFonts w:ascii="Times New Roman" w:hAnsi="Times New Roman"/>
          <w:b/>
          <w:sz w:val="24"/>
          <w:szCs w:val="24"/>
        </w:rPr>
        <w:t>,</w:t>
      </w:r>
      <w:r>
        <w:rPr>
          <w:rFonts w:ascii="Times New Roman" w:hAnsi="Times New Roman"/>
          <w:sz w:val="24"/>
          <w:szCs w:val="24"/>
        </w:rPr>
        <w:t xml:space="preserve"> а Замовник –  прийняти і оплатити такий Товар в порядку та на умовах, визначених цим Договором.</w:t>
      </w:r>
    </w:p>
    <w:p>
      <w:pPr>
        <w:pStyle w:val="Normal"/>
        <w:widowControl w:val="false"/>
        <w:tabs>
          <w:tab w:val="clear" w:pos="709"/>
          <w:tab w:val="left" w:pos="284" w:leader="none"/>
          <w:tab w:val="left" w:pos="567" w:leader="none"/>
          <w:tab w:val="left" w:pos="993" w:leader="none"/>
        </w:tabs>
        <w:spacing w:before="0" w:after="0"/>
        <w:jc w:val="both"/>
        <w:rPr>
          <w:sz w:val="24"/>
          <w:szCs w:val="24"/>
        </w:rPr>
      </w:pPr>
      <w:r>
        <w:rPr>
          <w:rFonts w:ascii="Times New Roman" w:hAnsi="Times New Roman"/>
          <w:b/>
          <w:color w:val="000000"/>
          <w:sz w:val="24"/>
          <w:szCs w:val="24"/>
        </w:rPr>
        <w:tab/>
      </w:r>
      <w:r>
        <w:rPr>
          <w:rFonts w:ascii="Times New Roman" w:hAnsi="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 Ціна товару є незмінною протягом дії Договору, крім випадків, передбачених чинним законодавством.</w:t>
      </w:r>
    </w:p>
    <w:p>
      <w:pPr>
        <w:pStyle w:val="Normal"/>
        <w:widowControl w:val="false"/>
        <w:tabs>
          <w:tab w:val="clear" w:pos="709"/>
          <w:tab w:val="left" w:pos="284" w:leader="none"/>
          <w:tab w:val="left" w:pos="567" w:leader="none"/>
          <w:tab w:val="left" w:pos="993" w:leader="none"/>
        </w:tabs>
        <w:spacing w:before="0" w:after="0"/>
        <w:jc w:val="both"/>
        <w:rPr>
          <w:sz w:val="24"/>
          <w:szCs w:val="24"/>
        </w:rPr>
      </w:pPr>
      <w:r>
        <w:rPr>
          <w:rFonts w:ascii="Times New Roman" w:hAnsi="Times New Roman"/>
          <w:sz w:val="24"/>
          <w:szCs w:val="24"/>
        </w:rPr>
        <w:tab/>
        <w:t xml:space="preserve">     1.3. Кількість Товару та сума Договору, можуть бути зменшені залежно від реального фінансування видатків Замовника</w:t>
      </w:r>
    </w:p>
    <w:p>
      <w:pPr>
        <w:pStyle w:val="Normal"/>
        <w:widowControl w:val="false"/>
        <w:tabs>
          <w:tab w:val="clear" w:pos="709"/>
          <w:tab w:val="left" w:pos="284" w:leader="none"/>
          <w:tab w:val="left" w:pos="567" w:leader="none"/>
          <w:tab w:val="left" w:pos="993" w:leader="none"/>
        </w:tabs>
        <w:spacing w:before="0" w:after="0"/>
        <w:jc w:val="both"/>
        <w:rPr>
          <w:sz w:val="24"/>
          <w:szCs w:val="24"/>
        </w:rPr>
      </w:pPr>
      <w:r>
        <w:rPr>
          <w:rFonts w:ascii="Times New Roman" w:hAnsi="Times New Roman"/>
          <w:color w:val="000000"/>
          <w:sz w:val="24"/>
          <w:szCs w:val="24"/>
        </w:rPr>
        <w:tab/>
        <w:t>1.4.</w:t>
      </w:r>
      <w:r>
        <w:rPr>
          <w:rFonts w:ascii="Times New Roman" w:hAnsi="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pPr>
        <w:pStyle w:val="Normal"/>
        <w:widowControl w:val="false"/>
        <w:shd w:val="clear" w:color="auto" w:fill="FFFFFF"/>
        <w:tabs>
          <w:tab w:val="clear" w:pos="709"/>
          <w:tab w:val="left" w:pos="993" w:leader="none"/>
        </w:tabs>
        <w:spacing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9"/>
          <w:tab w:val="left" w:pos="3067" w:leader="none"/>
        </w:tabs>
        <w:spacing w:before="0" w:after="0"/>
        <w:jc w:val="center"/>
        <w:rPr>
          <w:sz w:val="24"/>
          <w:szCs w:val="24"/>
        </w:rPr>
      </w:pPr>
      <w:r>
        <w:rPr>
          <w:rFonts w:ascii="Times New Roman" w:hAnsi="Times New Roman"/>
          <w:b/>
          <w:color w:val="000000"/>
          <w:spacing w:val="-12"/>
          <w:sz w:val="24"/>
          <w:szCs w:val="24"/>
          <w:shd w:fill="FFFFFF" w:val="clear"/>
        </w:rPr>
        <w:t>2.</w:t>
      </w:r>
      <w:r>
        <w:rPr>
          <w:rFonts w:ascii="Times New Roman" w:hAnsi="Times New Roman"/>
          <w:b/>
          <w:color w:val="000000"/>
          <w:spacing w:val="1"/>
          <w:sz w:val="24"/>
          <w:szCs w:val="24"/>
          <w:shd w:fill="FFFFFF" w:val="clear"/>
        </w:rPr>
        <w:t>ЯКІСТЬ ТОВАРІВ</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2.1. Постачальник повинен поставити Замовнику товар, якість  якого відповідає умовам чинного законодавства та пропозиції учасника.</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2.2. Постачальник здійснює поставку товарів тільки дозволених до застосування на території України.</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2.3. Строк придатності товарів на день поставки  не менше 80% від загального терміну придатності.</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Pr>
          <w:rFonts w:ascii="Times New Roman" w:hAnsi="Times New Roman"/>
          <w:color w:val="000000"/>
          <w:spacing w:val="-1"/>
          <w:sz w:val="24"/>
          <w:szCs w:val="24"/>
          <w:shd w:fill="FFFFFF" w:val="clear"/>
          <w:lang w:val="uk-UA"/>
        </w:rPr>
        <w:t>протягом 3-х годин</w:t>
      </w:r>
      <w:r>
        <w:rPr>
          <w:rFonts w:ascii="Times New Roman" w:hAnsi="Times New Roman"/>
          <w:color w:val="000000"/>
          <w:spacing w:val="-1"/>
          <w:sz w:val="24"/>
          <w:szCs w:val="24"/>
          <w:shd w:fill="FFFFFF" w:val="clear"/>
        </w:rPr>
        <w:t xml:space="preserve"> з моменту встановлення, що товар не відповідає встановленим якісним характеристикам.</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 xml:space="preserve">2.7. Постачальник відповідає за дотримання правил зберігання товарів під час транспортування. </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pPr>
        <w:pStyle w:val="Normal"/>
        <w:widowControl w:val="false"/>
        <w:shd w:val="clear" w:color="auto" w:fill="FFFFFF"/>
        <w:tabs>
          <w:tab w:val="clear" w:pos="709"/>
          <w:tab w:val="left" w:pos="1613" w:leader="none"/>
        </w:tabs>
        <w:spacing w:before="0" w:after="0"/>
        <w:ind w:firstLine="709"/>
        <w:jc w:val="both"/>
        <w:rPr>
          <w:sz w:val="24"/>
          <w:szCs w:val="24"/>
        </w:rPr>
      </w:pPr>
      <w:r>
        <w:rPr>
          <w:rFonts w:ascii="Times New Roman" w:hAnsi="Times New Roman"/>
          <w:color w:val="000000"/>
          <w:spacing w:val="-1"/>
          <w:sz w:val="24"/>
          <w:szCs w:val="24"/>
          <w:shd w:fill="FFFFFF" w:val="clear"/>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w:t>
      </w:r>
      <w:r>
        <w:rPr>
          <w:rFonts w:ascii="Times New Roman" w:hAnsi="Times New Roman"/>
          <w:color w:val="000000"/>
          <w:spacing w:val="-1"/>
          <w:sz w:val="24"/>
          <w:szCs w:val="24"/>
          <w:shd w:fill="FFFFFF" w:val="clear"/>
          <w:lang w:val="uk-UA"/>
        </w:rPr>
        <w:t>,</w:t>
      </w:r>
      <w:r>
        <w:rPr>
          <w:rFonts w:ascii="Times New Roman" w:hAnsi="Times New Roman"/>
          <w:color w:val="000000"/>
          <w:spacing w:val="-1"/>
          <w:sz w:val="24"/>
          <w:szCs w:val="24"/>
          <w:shd w:fill="FFFFFF" w:val="clear"/>
        </w:rPr>
        <w:t xml:space="preserve">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before="0" w:after="0"/>
        <w:jc w:val="center"/>
        <w:rPr>
          <w:sz w:val="24"/>
          <w:szCs w:val="24"/>
        </w:rPr>
      </w:pPr>
      <w:r>
        <w:rPr>
          <w:rFonts w:ascii="Times New Roman" w:hAnsi="Times New Roman"/>
          <w:b/>
          <w:bCs/>
          <w:spacing w:val="-1"/>
          <w:sz w:val="24"/>
          <w:szCs w:val="24"/>
        </w:rPr>
        <w:t>3. ЦІНА ДОГОВОРУ</w:t>
      </w:r>
    </w:p>
    <w:p>
      <w:pPr>
        <w:pStyle w:val="Normal"/>
        <w:widowControl w:val="false"/>
        <w:spacing w:before="0" w:after="0"/>
        <w:ind w:firstLine="708"/>
        <w:jc w:val="both"/>
        <w:rPr>
          <w:sz w:val="24"/>
          <w:szCs w:val="24"/>
        </w:rPr>
      </w:pPr>
      <w:r>
        <w:rPr>
          <w:rFonts w:ascii="Times New Roman" w:hAnsi="Times New Roman"/>
          <w:iCs/>
          <w:sz w:val="24"/>
          <w:szCs w:val="24"/>
        </w:rPr>
        <w:t xml:space="preserve">3.1. Сума,  визначена в договорі, становить  </w:t>
      </w:r>
      <w:r>
        <w:rPr>
          <w:rFonts w:ascii="Times New Roman" w:hAnsi="Times New Roman"/>
          <w:b/>
          <w:iCs/>
          <w:sz w:val="24"/>
          <w:szCs w:val="24"/>
        </w:rPr>
        <w:t xml:space="preserve">_______________________________ грн. (_______________________________________________________________) </w:t>
      </w:r>
      <w:r>
        <w:rPr>
          <w:rFonts w:ascii="Times New Roman" w:hAnsi="Times New Roman"/>
          <w:b/>
          <w:i/>
          <w:iCs/>
          <w:sz w:val="24"/>
          <w:szCs w:val="24"/>
        </w:rPr>
        <w:t>з або без ПДВ</w:t>
      </w:r>
      <w:r>
        <w:rPr>
          <w:rFonts w:ascii="Times New Roman" w:hAnsi="Times New Roman"/>
          <w:b/>
          <w:iCs/>
          <w:sz w:val="24"/>
          <w:szCs w:val="24"/>
        </w:rPr>
        <w:t>.</w:t>
      </w:r>
    </w:p>
    <w:p>
      <w:pPr>
        <w:pStyle w:val="Normal"/>
        <w:widowControl w:val="false"/>
        <w:spacing w:before="0" w:after="0"/>
        <w:ind w:firstLine="708"/>
        <w:jc w:val="both"/>
        <w:rPr>
          <w:sz w:val="24"/>
          <w:szCs w:val="24"/>
        </w:rPr>
      </w:pPr>
      <w:r>
        <w:rPr>
          <w:rFonts w:ascii="Times New Roman" w:hAnsi="Times New Roman"/>
          <w:sz w:val="24"/>
          <w:szCs w:val="24"/>
        </w:rPr>
        <w:t>3.2. Сума цього  Договору  може  бути  зменшена за взаємною згодою Сторін.</w:t>
      </w:r>
    </w:p>
    <w:p>
      <w:pPr>
        <w:pStyle w:val="Normal"/>
        <w:widowControl w:val="false"/>
        <w:spacing w:before="0" w:after="0"/>
        <w:ind w:firstLine="708"/>
        <w:jc w:val="both"/>
        <w:rPr>
          <w:sz w:val="24"/>
          <w:szCs w:val="24"/>
        </w:rPr>
      </w:pPr>
      <w:r>
        <w:rPr>
          <w:rFonts w:ascii="Times New Roman" w:hAnsi="Times New Roman"/>
          <w:sz w:val="24"/>
          <w:szCs w:val="24"/>
        </w:rPr>
        <w:t>3.3. Ціна на товар встановлюється в національній грошовій одиниці України.</w:t>
      </w:r>
    </w:p>
    <w:p>
      <w:pPr>
        <w:pStyle w:val="Normal"/>
        <w:widowControl w:val="false"/>
        <w:spacing w:before="0" w:after="0"/>
        <w:ind w:firstLine="708"/>
        <w:jc w:val="both"/>
        <w:rPr>
          <w:sz w:val="24"/>
          <w:szCs w:val="24"/>
        </w:rPr>
      </w:pPr>
      <w:r>
        <w:rPr>
          <w:rFonts w:ascii="Times New Roman" w:hAnsi="Times New Roman"/>
          <w:sz w:val="24"/>
          <w:szCs w:val="24"/>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Pr>
          <w:rFonts w:ascii="Times New Roman" w:hAnsi="Times New Roman"/>
          <w:sz w:val="24"/>
          <w:szCs w:val="24"/>
          <w:lang w:val="uk-UA"/>
        </w:rPr>
        <w:t xml:space="preserve"> крім випадків визначених пунктом 19 Особливостей, а саме:</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 xml:space="preserve">2) </w:t>
      </w:r>
      <w:r>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Normal"/>
        <w:numPr>
          <w:ilvl w:val="0"/>
          <w:numId w:val="0"/>
        </w:numPr>
        <w:tabs>
          <w:tab w:val="left" w:pos="709" w:leader="none"/>
        </w:tabs>
        <w:ind w:left="1004" w:hanging="0"/>
        <w:jc w:val="both"/>
        <w:rPr>
          <w:sz w:val="24"/>
          <w:szCs w:val="24"/>
        </w:rPr>
      </w:pPr>
      <w:r>
        <w:rPr>
          <w:rFonts w:cs="Times New Roman" w:ascii="Times New Roman" w:hAnsi="Times New Roman"/>
          <w:sz w:val="24"/>
          <w:szCs w:val="24"/>
          <w:lang w:eastAsia="uk-UA"/>
        </w:rPr>
        <w:t>- підставою для зміни ціни є письмове звернення Сторони Договору та коливання ціни на ринку;</w:t>
      </w:r>
    </w:p>
    <w:p>
      <w:pPr>
        <w:pStyle w:val="Normal"/>
        <w:numPr>
          <w:ilvl w:val="0"/>
          <w:numId w:val="0"/>
        </w:numPr>
        <w:tabs>
          <w:tab w:val="left" w:pos="709" w:leader="none"/>
        </w:tabs>
        <w:ind w:left="1004" w:hanging="0"/>
        <w:jc w:val="both"/>
        <w:rPr>
          <w:sz w:val="24"/>
          <w:szCs w:val="24"/>
        </w:rPr>
      </w:pPr>
      <w:r>
        <w:rPr>
          <w:rFonts w:cs="Times New Roman" w:ascii="Times New Roman" w:hAnsi="Times New Roman"/>
          <w:sz w:val="24"/>
          <w:szCs w:val="24"/>
        </w:rPr>
        <w:t xml:space="preserve">- Сторони погоджуються, що збільшення ціни за одиницю товару відбувається пропорційно коливанню цін на ринку, але </w:t>
      </w:r>
      <w:r>
        <w:rPr>
          <w:rFonts w:cs="Times New Roman" w:ascii="Times New Roman" w:hAnsi="Times New Roman"/>
          <w:sz w:val="24"/>
          <w:szCs w:val="24"/>
          <w:lang w:eastAsia="uk-UA"/>
        </w:rPr>
        <w:t>не може перевищувати відсоток коливання (збільшення) ціни такого товару на ринку</w:t>
      </w:r>
      <w:r>
        <w:rPr>
          <w:rFonts w:cs="Times New Roman" w:ascii="Times New Roman" w:hAnsi="Times New Roman"/>
          <w:sz w:val="24"/>
          <w:szCs w:val="24"/>
        </w:rPr>
        <w:t>;</w:t>
      </w:r>
    </w:p>
    <w:p>
      <w:pPr>
        <w:pStyle w:val="Normal"/>
        <w:numPr>
          <w:ilvl w:val="0"/>
          <w:numId w:val="0"/>
        </w:numPr>
        <w:tabs>
          <w:tab w:val="left" w:pos="709" w:leader="none"/>
        </w:tabs>
        <w:ind w:left="1004" w:hanging="0"/>
        <w:jc w:val="both"/>
        <w:rPr>
          <w:sz w:val="24"/>
          <w:szCs w:val="24"/>
        </w:rPr>
      </w:pPr>
      <w:r>
        <w:rPr>
          <w:rFonts w:cs="Times New Roman" w:ascii="Times New Roman" w:hAnsi="Times New Roman"/>
          <w:sz w:val="24"/>
          <w:szCs w:val="24"/>
        </w:rPr>
        <w:t xml:space="preserve">- Сторони погоджуються, що документальне підтвердження ціни на ринку має містити інформацію про період порівняння ціни, а саме: </w:t>
      </w:r>
      <w:r>
        <w:rPr>
          <w:rFonts w:cs="Times New Roman"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rFonts w:cs="Times New Roman" w:ascii="Times New Roman" w:hAnsi="Times New Roman"/>
          <w:sz w:val="24"/>
          <w:szCs w:val="24"/>
        </w:rPr>
        <w:t xml:space="preserve"> та до моменту виникнення необхідності у внесенні відповідних змін;</w:t>
      </w:r>
    </w:p>
    <w:p>
      <w:pPr>
        <w:pStyle w:val="Normal"/>
        <w:numPr>
          <w:ilvl w:val="0"/>
          <w:numId w:val="0"/>
        </w:numPr>
        <w:tabs>
          <w:tab w:val="left" w:pos="709" w:leader="none"/>
        </w:tabs>
        <w:ind w:left="1004" w:hanging="0"/>
        <w:jc w:val="both"/>
        <w:rPr>
          <w:sz w:val="24"/>
          <w:szCs w:val="24"/>
        </w:rPr>
      </w:pPr>
      <w:r>
        <w:rPr>
          <w:rFonts w:cs="Times New Roman" w:ascii="Times New Roman" w:hAnsi="Times New Roman"/>
          <w:sz w:val="24"/>
          <w:szCs w:val="24"/>
        </w:rPr>
        <w:t>- Сторони погоджуються, що жоден документ, який підтверджує коливання ціни на ринку не може містити один і той самий період;</w:t>
      </w:r>
    </w:p>
    <w:p>
      <w:pPr>
        <w:pStyle w:val="Normal"/>
        <w:numPr>
          <w:ilvl w:val="0"/>
          <w:numId w:val="0"/>
        </w:numPr>
        <w:tabs>
          <w:tab w:val="left" w:pos="709" w:leader="none"/>
        </w:tabs>
        <w:ind w:left="1004" w:hanging="0"/>
        <w:jc w:val="both"/>
        <w:rPr>
          <w:sz w:val="24"/>
          <w:szCs w:val="24"/>
        </w:rPr>
      </w:pPr>
      <w:r>
        <w:rPr>
          <w:rFonts w:cs="Times New Roman" w:ascii="Times New Roman" w:hAnsi="Times New Roman"/>
          <w:sz w:val="24"/>
          <w:szCs w:val="24"/>
        </w:rPr>
        <w:t>-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pPr>
        <w:pStyle w:val="Normal"/>
        <w:numPr>
          <w:ilvl w:val="0"/>
          <w:numId w:val="3"/>
        </w:numPr>
        <w:tabs>
          <w:tab w:val="left" w:pos="709" w:leader="none"/>
        </w:tabs>
        <w:jc w:val="both"/>
        <w:rPr>
          <w:sz w:val="24"/>
          <w:szCs w:val="24"/>
        </w:rPr>
      </w:pPr>
      <w:r>
        <w:rPr>
          <w:rFonts w:cs="Times New Roman"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Normal"/>
        <w:numPr>
          <w:ilvl w:val="0"/>
          <w:numId w:val="3"/>
        </w:numPr>
        <w:tabs>
          <w:tab w:val="left" w:pos="709" w:leader="none"/>
        </w:tabs>
        <w:jc w:val="both"/>
        <w:rPr>
          <w:sz w:val="24"/>
          <w:szCs w:val="24"/>
        </w:rPr>
      </w:pPr>
      <w:r>
        <w:rPr>
          <w:rFonts w:cs="Times New Roman" w:ascii="Times New Roman" w:hAnsi="Times New Roman"/>
          <w:sz w:val="24"/>
          <w:szCs w:val="24"/>
        </w:rPr>
        <w:t>результат порівняння цін у відсотковому вираженні.</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У цьому випадку Сторони погоджуються, що зміну ціни здійснюють у такому порядку:</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pStyle w:val="Normal"/>
        <w:tabs>
          <w:tab w:val="clear" w:pos="709"/>
          <w:tab w:val="left" w:pos="567" w:leader="none"/>
        </w:tabs>
        <w:ind w:left="0" w:right="0" w:firstLine="567"/>
        <w:jc w:val="both"/>
        <w:rPr>
          <w:sz w:val="24"/>
          <w:szCs w:val="24"/>
        </w:rPr>
      </w:pPr>
      <w:r>
        <w:rPr>
          <w:rFonts w:ascii="Times New Roman" w:hAnsi="Times New Roman"/>
          <w:sz w:val="24"/>
          <w:szCs w:val="24"/>
          <w:lang w:val="uk-UA"/>
        </w:rPr>
        <w:t>•</w:t>
      </w:r>
      <w:r>
        <w:rPr>
          <w:rFonts w:ascii="Times New Roman" w:hAnsi="Times New Roman"/>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pStyle w:val="Style21"/>
        <w:tabs>
          <w:tab w:val="clear" w:pos="709"/>
          <w:tab w:val="left" w:pos="1134" w:leader="none"/>
        </w:tabs>
        <w:spacing w:lineRule="auto" w:line="276" w:before="0" w:after="0"/>
        <w:ind w:left="283" w:right="-284" w:hanging="0"/>
        <w:jc w:val="both"/>
        <w:rPr>
          <w:sz w:val="24"/>
          <w:szCs w:val="24"/>
        </w:rPr>
      </w:pPr>
      <w:r>
        <w:rPr>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Style21"/>
        <w:widowControl w:val="false"/>
        <w:spacing w:before="0" w:after="0"/>
        <w:ind w:left="283" w:firstLine="708"/>
        <w:jc w:val="both"/>
        <w:rPr>
          <w:sz w:val="24"/>
          <w:szCs w:val="24"/>
        </w:rPr>
      </w:pPr>
      <w:r>
        <w:rPr>
          <w:sz w:val="24"/>
          <w:szCs w:val="24"/>
          <w:lang w:val="uk-UA"/>
        </w:rPr>
        <w:tab/>
      </w:r>
    </w:p>
    <w:p>
      <w:pPr>
        <w:pStyle w:val="Normal"/>
        <w:widowControl w:val="false"/>
        <w:spacing w:before="0" w:after="0"/>
        <w:ind w:hanging="0"/>
        <w:jc w:val="both"/>
        <w:rPr>
          <w:sz w:val="24"/>
          <w:szCs w:val="24"/>
        </w:rPr>
      </w:pPr>
      <w:r>
        <w:rPr>
          <w:sz w:val="24"/>
          <w:szCs w:val="24"/>
        </w:rPr>
      </w:r>
    </w:p>
    <w:p>
      <w:pPr>
        <w:pStyle w:val="Normal"/>
        <w:widowControl w:val="false"/>
        <w:spacing w:before="0" w:after="0"/>
        <w:ind w:firstLine="708"/>
        <w:jc w:val="both"/>
        <w:rPr>
          <w:sz w:val="24"/>
          <w:szCs w:val="24"/>
        </w:rPr>
      </w:pPr>
      <w:r>
        <w:rPr>
          <w:rFonts w:ascii="Times New Roman" w:hAnsi="Times New Roman"/>
          <w:sz w:val="24"/>
          <w:szCs w:val="24"/>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before="0" w:after="0"/>
        <w:jc w:val="center"/>
        <w:rPr>
          <w:sz w:val="24"/>
          <w:szCs w:val="24"/>
        </w:rPr>
      </w:pPr>
      <w:r>
        <w:rPr>
          <w:rFonts w:ascii="Times New Roman" w:hAnsi="Times New Roman"/>
          <w:b/>
          <w:bCs/>
          <w:sz w:val="24"/>
          <w:szCs w:val="24"/>
        </w:rPr>
        <w:t>4. ПОРЯДОК РОЗРАХУНКІВ</w:t>
      </w:r>
    </w:p>
    <w:p>
      <w:pPr>
        <w:pStyle w:val="Normal"/>
        <w:widowControl w:val="false"/>
        <w:tabs>
          <w:tab w:val="clear" w:pos="709"/>
          <w:tab w:val="left" w:pos="1276" w:leader="none"/>
        </w:tabs>
        <w:spacing w:before="0" w:after="0"/>
        <w:ind w:firstLine="1276"/>
        <w:jc w:val="both"/>
        <w:rPr>
          <w:sz w:val="24"/>
          <w:szCs w:val="24"/>
        </w:rPr>
      </w:pPr>
      <w:r>
        <w:rPr>
          <w:rFonts w:ascii="Times New Roman" w:hAnsi="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pPr>
        <w:pStyle w:val="Style21"/>
        <w:tabs>
          <w:tab w:val="clear" w:pos="709"/>
          <w:tab w:val="left" w:pos="1134" w:leader="none"/>
        </w:tabs>
        <w:spacing w:before="0" w:after="0"/>
        <w:ind w:left="0" w:firstLine="1276"/>
        <w:jc w:val="both"/>
        <w:rPr>
          <w:sz w:val="24"/>
          <w:szCs w:val="24"/>
        </w:rPr>
      </w:pPr>
      <w:r>
        <w:rPr>
          <w:rFonts w:eastAsia="Times New Roman"/>
          <w:sz w:val="24"/>
          <w:szCs w:val="24"/>
          <w:lang w:eastAsia="ru-RU"/>
        </w:rPr>
        <w:t xml:space="preserve">4.2. </w:t>
      </w:r>
      <w:r>
        <w:rPr>
          <w:color w:val="000000"/>
          <w:sz w:val="24"/>
          <w:szCs w:val="24"/>
        </w:rPr>
        <w:t>Розрахунки проводяться шляхом безготівкового перерахування коштів на поточний рахунок Постачальника, вказаний в Договорі,</w:t>
      </w:r>
      <w:r>
        <w:rPr>
          <w:b/>
          <w:sz w:val="24"/>
          <w:szCs w:val="24"/>
        </w:rPr>
        <w:t xml:space="preserve"> </w:t>
      </w:r>
      <w:r>
        <w:rPr>
          <w:sz w:val="24"/>
          <w:szCs w:val="24"/>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Pr>
          <w:b/>
          <w:sz w:val="24"/>
          <w:szCs w:val="24"/>
        </w:rPr>
        <w:t xml:space="preserve"> </w:t>
      </w:r>
      <w:r>
        <w:rPr>
          <w:sz w:val="24"/>
          <w:szCs w:val="24"/>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pPr>
        <w:pStyle w:val="Normal"/>
        <w:widowControl w:val="false"/>
        <w:tabs>
          <w:tab w:val="clear" w:pos="709"/>
          <w:tab w:val="left" w:pos="1276" w:leader="none"/>
        </w:tabs>
        <w:spacing w:before="0" w:after="0"/>
        <w:ind w:firstLine="709"/>
        <w:jc w:val="both"/>
        <w:rPr>
          <w:sz w:val="24"/>
          <w:szCs w:val="24"/>
        </w:rPr>
      </w:pPr>
      <w:r>
        <w:rPr>
          <w:rFonts w:ascii="Times New Roman" w:hAnsi="Times New Roman"/>
          <w:sz w:val="24"/>
          <w:szCs w:val="24"/>
        </w:rPr>
        <w:t xml:space="preserve">. </w:t>
      </w:r>
    </w:p>
    <w:p>
      <w:pPr>
        <w:pStyle w:val="Normal"/>
        <w:widowControl w:val="false"/>
        <w:shd w:val="clear" w:color="auto" w:fill="FFFFFF"/>
        <w:spacing w:before="0" w:after="0"/>
        <w:jc w:val="center"/>
        <w:rPr>
          <w:sz w:val="24"/>
          <w:szCs w:val="24"/>
        </w:rPr>
      </w:pPr>
      <w:r>
        <w:rPr>
          <w:rFonts w:ascii="Times New Roman" w:hAnsi="Times New Roman"/>
          <w:b/>
          <w:bCs/>
          <w:spacing w:val="-1"/>
          <w:sz w:val="24"/>
          <w:szCs w:val="24"/>
        </w:rPr>
        <w:t>5. ПОСТАВКА ТОВАРУ</w:t>
      </w:r>
    </w:p>
    <w:p>
      <w:pPr>
        <w:pStyle w:val="Normal"/>
        <w:spacing w:lineRule="auto" w:line="240"/>
        <w:ind w:right="-284" w:hanging="0"/>
        <w:jc w:val="both"/>
        <w:rPr>
          <w:sz w:val="24"/>
          <w:szCs w:val="24"/>
        </w:rPr>
      </w:pPr>
      <w:r>
        <w:rPr>
          <w:rFonts w:ascii="Times New Roman" w:hAnsi="Times New Roman"/>
          <w:color w:val="121212"/>
          <w:spacing w:val="-1"/>
          <w:sz w:val="24"/>
          <w:szCs w:val="24"/>
          <w:shd w:fill="FFFFFF" w:val="clear"/>
          <w:lang w:val="uk-UA"/>
        </w:rPr>
        <w:t xml:space="preserve">          </w:t>
      </w:r>
      <w:r>
        <w:rPr>
          <w:rFonts w:ascii="Times New Roman" w:hAnsi="Times New Roman"/>
          <w:color w:val="121212"/>
          <w:spacing w:val="-1"/>
          <w:sz w:val="24"/>
          <w:szCs w:val="24"/>
          <w:shd w:fill="FFFFFF" w:val="clear"/>
        </w:rPr>
        <w:t xml:space="preserve">5.1. </w:t>
      </w:r>
      <w:r>
        <w:rPr>
          <w:rFonts w:ascii="Cambria" w:hAnsi="Cambria"/>
          <w:sz w:val="24"/>
          <w:szCs w:val="24"/>
        </w:rPr>
        <w:t xml:space="preserve">Товар поставляється Замовнику </w:t>
      </w:r>
      <w:r>
        <w:rPr>
          <w:rFonts w:ascii="Cambria" w:hAnsi="Cambria"/>
          <w:b/>
          <w:sz w:val="24"/>
          <w:szCs w:val="24"/>
          <w:lang w:val="uk-UA"/>
        </w:rPr>
        <w:t xml:space="preserve"> </w:t>
      </w:r>
      <w:r>
        <w:rPr>
          <w:rFonts w:ascii="Cambria" w:hAnsi="Cambria"/>
          <w:sz w:val="24"/>
          <w:szCs w:val="24"/>
          <w:lang w:val="uk-UA"/>
        </w:rPr>
        <w:t>в робочі дні з 9.00</w:t>
      </w:r>
      <w:r>
        <w:rPr>
          <w:rFonts w:ascii="Cambria" w:hAnsi="Cambria"/>
          <w:sz w:val="24"/>
          <w:szCs w:val="24"/>
        </w:rPr>
        <w:t xml:space="preserve"> до </w:t>
      </w:r>
      <w:r>
        <w:rPr>
          <w:rFonts w:ascii="Cambria" w:hAnsi="Cambria"/>
          <w:sz w:val="24"/>
          <w:szCs w:val="24"/>
          <w:lang w:val="uk-UA"/>
        </w:rPr>
        <w:t>12</w:t>
      </w:r>
      <w:r>
        <w:rPr>
          <w:rFonts w:ascii="Cambria" w:hAnsi="Cambria"/>
          <w:sz w:val="24"/>
          <w:szCs w:val="24"/>
        </w:rPr>
        <w:t>.00 години</w:t>
      </w:r>
      <w:r>
        <w:rPr>
          <w:rFonts w:ascii="Cambria" w:hAnsi="Cambria"/>
          <w:sz w:val="24"/>
          <w:szCs w:val="24"/>
          <w:lang w:val="uk-UA"/>
        </w:rPr>
        <w:t xml:space="preserve"> дрібними партіями</w:t>
      </w:r>
      <w:r>
        <w:rPr>
          <w:rFonts w:ascii="Cambria" w:hAnsi="Cambria"/>
          <w:sz w:val="24"/>
          <w:szCs w:val="24"/>
        </w:rPr>
        <w:t xml:space="preserve">  в кількості </w:t>
      </w:r>
      <w:r>
        <w:rPr>
          <w:rFonts w:ascii="Cambria" w:hAnsi="Cambria"/>
          <w:sz w:val="24"/>
          <w:szCs w:val="24"/>
          <w:lang w:val="uk-UA"/>
        </w:rPr>
        <w:t xml:space="preserve">і дні </w:t>
      </w:r>
      <w:r>
        <w:rPr>
          <w:rFonts w:ascii="Cambria" w:hAnsi="Cambria"/>
          <w:sz w:val="24"/>
          <w:szCs w:val="24"/>
        </w:rPr>
        <w:t>відповідно до заявки Замовника</w:t>
      </w:r>
      <w:r>
        <w:rPr>
          <w:rFonts w:ascii="Cambria" w:hAnsi="Cambria"/>
          <w:sz w:val="24"/>
          <w:szCs w:val="24"/>
          <w:lang w:val="uk-UA"/>
        </w:rPr>
        <w:t xml:space="preserve">, але не рідше 3-х разів на тиждень. </w:t>
      </w:r>
      <w:r>
        <w:rPr>
          <w:rFonts w:ascii="Times New Roman" w:hAnsi="Times New Roman"/>
          <w:color w:val="121212"/>
          <w:spacing w:val="-1"/>
          <w:sz w:val="24"/>
          <w:szCs w:val="24"/>
          <w:shd w:fill="FFFFFF" w:val="clear"/>
        </w:rPr>
        <w:t xml:space="preserve">Строк (термін) поставки товару: </w:t>
      </w:r>
      <w:r>
        <w:rPr>
          <w:rFonts w:ascii="Times New Roman" w:hAnsi="Times New Roman"/>
          <w:color w:val="121212"/>
          <w:spacing w:val="-1"/>
          <w:sz w:val="24"/>
          <w:szCs w:val="24"/>
          <w:shd w:fill="FFFFFF" w:val="clear"/>
          <w:lang w:val="uk-UA"/>
        </w:rPr>
        <w:t>з моменту підписання договору</w:t>
      </w:r>
      <w:r>
        <w:rPr>
          <w:rFonts w:ascii="Times New Roman" w:hAnsi="Times New Roman"/>
          <w:color w:val="121212"/>
          <w:spacing w:val="-1"/>
          <w:sz w:val="24"/>
          <w:szCs w:val="24"/>
          <w:shd w:fill="FFFFFF" w:val="clear"/>
        </w:rPr>
        <w:t xml:space="preserve"> до 31.12.202</w:t>
      </w:r>
      <w:r>
        <w:rPr>
          <w:rFonts w:ascii="Times New Roman" w:hAnsi="Times New Roman"/>
          <w:color w:val="121212"/>
          <w:spacing w:val="-1"/>
          <w:sz w:val="24"/>
          <w:szCs w:val="24"/>
          <w:shd w:fill="FFFFFF" w:val="clear"/>
          <w:lang w:val="uk-UA"/>
        </w:rPr>
        <w:t>4</w:t>
      </w:r>
      <w:r>
        <w:rPr>
          <w:rFonts w:ascii="Times New Roman" w:hAnsi="Times New Roman"/>
          <w:color w:val="121212"/>
          <w:spacing w:val="-1"/>
          <w:sz w:val="24"/>
          <w:szCs w:val="24"/>
          <w:shd w:fill="FFFFFF" w:val="clear"/>
        </w:rPr>
        <w:t xml:space="preserve"> року. </w:t>
      </w:r>
    </w:p>
    <w:p>
      <w:pPr>
        <w:pStyle w:val="Normal"/>
        <w:widowControl w:val="false"/>
        <w:shd w:val="clear" w:color="auto" w:fill="FFFFFF"/>
        <w:spacing w:before="0" w:after="0"/>
        <w:ind w:firstLine="709"/>
        <w:jc w:val="both"/>
        <w:rPr>
          <w:sz w:val="24"/>
          <w:szCs w:val="24"/>
        </w:rPr>
      </w:pPr>
      <w:r>
        <w:rPr>
          <w:rFonts w:ascii="Times New Roman" w:hAnsi="Times New Roman"/>
          <w:color w:val="121212"/>
          <w:spacing w:val="-1"/>
          <w:sz w:val="24"/>
          <w:szCs w:val="24"/>
          <w:shd w:fill="FFFFFF" w:val="clear"/>
        </w:rPr>
        <w:t xml:space="preserve">5.2. Місце поставки  товарів </w:t>
      </w:r>
      <w:r>
        <w:rPr>
          <w:rFonts w:ascii="Times New Roman" w:hAnsi="Times New Roman"/>
          <w:color w:val="121212"/>
          <w:spacing w:val="-1"/>
          <w:sz w:val="24"/>
          <w:szCs w:val="24"/>
          <w:shd w:fill="FFFFFF" w:val="clear"/>
          <w:lang w:val="uk-UA"/>
        </w:rPr>
        <w:t>за адресою Замовника.</w:t>
      </w:r>
    </w:p>
    <w:p>
      <w:pPr>
        <w:pStyle w:val="Normal"/>
        <w:widowControl w:val="false"/>
        <w:shd w:val="clear" w:color="auto" w:fill="FFFFFF"/>
        <w:spacing w:before="0" w:after="0"/>
        <w:ind w:firstLine="709"/>
        <w:jc w:val="both"/>
        <w:rPr>
          <w:sz w:val="24"/>
          <w:szCs w:val="24"/>
        </w:rPr>
      </w:pPr>
      <w:r>
        <w:rPr>
          <w:rFonts w:ascii="Times New Roman" w:hAnsi="Times New Roman"/>
          <w:color w:val="121212"/>
          <w:spacing w:val="-1"/>
          <w:sz w:val="24"/>
          <w:szCs w:val="24"/>
          <w:shd w:fill="FFFFFF" w:val="clear"/>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pPr>
        <w:pStyle w:val="Normal"/>
        <w:widowControl w:val="false"/>
        <w:shd w:val="clear" w:color="auto" w:fill="FFFFFF"/>
        <w:spacing w:before="0" w:after="0"/>
        <w:ind w:firstLine="709"/>
        <w:jc w:val="both"/>
        <w:rPr>
          <w:sz w:val="24"/>
          <w:szCs w:val="24"/>
        </w:rPr>
      </w:pPr>
      <w:r>
        <w:rPr>
          <w:rFonts w:ascii="Times New Roman" w:hAnsi="Times New Roman"/>
          <w:color w:val="121212"/>
          <w:spacing w:val="-1"/>
          <w:sz w:val="24"/>
          <w:szCs w:val="24"/>
          <w:shd w:fill="FFFFFF" w:val="clear"/>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pPr>
        <w:pStyle w:val="Normal"/>
        <w:widowControl w:val="false"/>
        <w:shd w:val="clear" w:color="auto" w:fill="FFFFFF"/>
        <w:spacing w:before="0" w:after="0"/>
        <w:ind w:firstLine="709"/>
        <w:jc w:val="both"/>
        <w:rPr>
          <w:sz w:val="24"/>
          <w:szCs w:val="24"/>
        </w:rPr>
      </w:pPr>
      <w:r>
        <w:rPr>
          <w:rFonts w:ascii="Times New Roman" w:hAnsi="Times New Roman"/>
          <w:color w:val="121212"/>
          <w:spacing w:val="-1"/>
          <w:sz w:val="24"/>
          <w:szCs w:val="24"/>
          <w:shd w:fill="FFFFFF" w:val="clear"/>
        </w:rPr>
        <w:t>5.5. Згідно Санітарно - гігієнічних норм транспортування продуктів здійснюється спеціальним автотранспортом Постачальника.</w:t>
      </w:r>
    </w:p>
    <w:p>
      <w:pPr>
        <w:pStyle w:val="Normal"/>
        <w:widowControl w:val="false"/>
        <w:shd w:val="clear" w:color="auto" w:fill="FFFFFF"/>
        <w:spacing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before="0" w:after="0"/>
        <w:jc w:val="center"/>
        <w:rPr>
          <w:sz w:val="24"/>
          <w:szCs w:val="24"/>
        </w:rPr>
      </w:pPr>
      <w:r>
        <w:rPr>
          <w:rFonts w:ascii="Times New Roman" w:hAnsi="Times New Roman"/>
          <w:b/>
          <w:bCs/>
          <w:spacing w:val="-2"/>
          <w:sz w:val="24"/>
          <w:szCs w:val="24"/>
        </w:rPr>
        <w:t>6. ПРАВА ТА ОБОВ’ЯЗКИ СТОРІН</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6.1.Замовник має право: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6.2.2. Контролювати поставку товарів  у строки, встановлені цим Договором, та їх якість;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6.3. Постачальник зобов'язаний: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6.3.1. Забезпечити поставку  товарів у строки, встановлені цим Договором;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6.3.2.Забезпечити поставку товарів, якість яких відповідає умовам, установленим розділом II цього Договору;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6.4. Постачальник має право: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 xml:space="preserve">6.4.1. Своєчасно та в повному обсязі отримувати плату за поставлені товари; </w:t>
      </w:r>
    </w:p>
    <w:p>
      <w:pPr>
        <w:pStyle w:val="Normal"/>
        <w:widowControl w:val="false"/>
        <w:shd w:val="clear" w:color="auto" w:fill="FFFFFF"/>
        <w:spacing w:before="0" w:after="0"/>
        <w:ind w:firstLine="708"/>
        <w:jc w:val="both"/>
        <w:rPr>
          <w:sz w:val="24"/>
          <w:szCs w:val="24"/>
        </w:rPr>
      </w:pPr>
      <w:r>
        <w:rPr>
          <w:rFonts w:ascii="Times New Roman" w:hAnsi="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pPr>
        <w:pStyle w:val="Normal"/>
        <w:widowControl w:val="false"/>
        <w:shd w:val="clear" w:color="auto" w:fill="FFFFFF"/>
        <w:spacing w:before="0" w:after="0"/>
        <w:ind w:firstLine="708"/>
        <w:jc w:val="both"/>
        <w:rPr>
          <w:rFonts w:ascii="Times New Roman" w:hAnsi="Times New Roman"/>
          <w:sz w:val="24"/>
          <w:szCs w:val="24"/>
        </w:rPr>
      </w:pPr>
      <w:r>
        <w:rPr>
          <w:rFonts w:ascii="Times New Roman" w:hAnsi="Times New Roman"/>
          <w:sz w:val="24"/>
          <w:szCs w:val="24"/>
        </w:rPr>
      </w:r>
    </w:p>
    <w:p>
      <w:pPr>
        <w:pStyle w:val="ListParagraph"/>
        <w:widowControl w:val="false"/>
        <w:numPr>
          <w:ilvl w:val="0"/>
          <w:numId w:val="1"/>
        </w:numPr>
        <w:shd w:val="clear" w:color="auto" w:fill="FFFFFF"/>
        <w:spacing w:before="0" w:after="0"/>
        <w:contextualSpacing/>
        <w:jc w:val="center"/>
        <w:rPr>
          <w:sz w:val="24"/>
          <w:szCs w:val="24"/>
        </w:rPr>
      </w:pPr>
      <w:r>
        <w:rPr>
          <w:rFonts w:ascii="Times New Roman" w:hAnsi="Times New Roman"/>
          <w:b/>
          <w:bCs/>
          <w:sz w:val="24"/>
          <w:szCs w:val="24"/>
          <w:lang w:eastAsia="ru-RU"/>
        </w:rPr>
        <w:t>ВІДПОВІДАЛЬНІСТЬ СТОРІН</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pPr>
        <w:pStyle w:val="ListParagraph"/>
        <w:widowControl w:val="false"/>
        <w:numPr>
          <w:ilvl w:val="1"/>
          <w:numId w:val="1"/>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 xml:space="preserve">Види порушень та санкції за них, установлені Договором: </w:t>
      </w:r>
    </w:p>
    <w:p>
      <w:pPr>
        <w:pStyle w:val="ListParagraph"/>
        <w:widowControl w:val="false"/>
        <w:numPr>
          <w:ilvl w:val="2"/>
          <w:numId w:val="1"/>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pPr>
        <w:pStyle w:val="Normal"/>
        <w:widowControl w:val="false"/>
        <w:tabs>
          <w:tab w:val="clear" w:pos="709"/>
          <w:tab w:val="left" w:pos="1134" w:leader="none"/>
          <w:tab w:val="left" w:pos="5467" w:leader="none"/>
        </w:tabs>
        <w:spacing w:before="0" w:after="0"/>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jc w:val="center"/>
        <w:rPr>
          <w:sz w:val="24"/>
          <w:szCs w:val="24"/>
        </w:rPr>
      </w:pPr>
      <w:r>
        <w:rPr>
          <w:rFonts w:ascii="Times New Roman" w:hAnsi="Times New Roman"/>
          <w:b/>
          <w:color w:val="121212"/>
          <w:spacing w:val="-1"/>
          <w:sz w:val="24"/>
          <w:szCs w:val="24"/>
          <w:shd w:fill="FFFFFF" w:val="clear"/>
        </w:rPr>
        <w:t>8. ОБСТАВИНИ НЕПЕРЕБОРНОЇ СИЛИ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 xml:space="preserve"> </w:t>
      </w:r>
      <w:r>
        <w:rPr>
          <w:rFonts w:ascii="Times New Roman" w:hAnsi="Times New Roman"/>
          <w:color w:val="121212"/>
          <w:spacing w:val="-1"/>
          <w:sz w:val="24"/>
          <w:szCs w:val="24"/>
          <w:shd w:fill="FFFFFF" w:val="clear"/>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 xml:space="preserve">Доказом виникнення обставин непереборної сили та строку їх дії є довідка, яка видається </w:t>
      </w:r>
      <w:r>
        <w:rPr>
          <w:rFonts w:ascii="Times New Roman" w:hAnsi="Times New Roman"/>
          <w:color w:val="000000"/>
          <w:spacing w:val="-1"/>
          <w:sz w:val="24"/>
          <w:szCs w:val="24"/>
          <w:shd w:fill="FFFFFF" w:val="clear"/>
        </w:rPr>
        <w:t>компетентним органом України.</w:t>
      </w:r>
    </w:p>
    <w:p>
      <w:pPr>
        <w:pStyle w:val="ListParagraph"/>
        <w:widowControl w:val="false"/>
        <w:numPr>
          <w:ilvl w:val="1"/>
          <w:numId w:val="3"/>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pPr>
        <w:pStyle w:val="Normal"/>
        <w:widowControl w:val="false"/>
        <w:tabs>
          <w:tab w:val="clear" w:pos="709"/>
          <w:tab w:val="left" w:pos="5467" w:leader="none"/>
        </w:tabs>
        <w:spacing w:before="0" w:after="0"/>
        <w:ind w:left="5" w:hanging="0"/>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numPr>
          <w:ilvl w:val="0"/>
          <w:numId w:val="2"/>
        </w:numPr>
        <w:tabs>
          <w:tab w:val="clear" w:pos="709"/>
          <w:tab w:val="left" w:pos="993" w:leader="none"/>
          <w:tab w:val="left" w:pos="5467" w:leader="none"/>
        </w:tabs>
        <w:spacing w:before="0" w:after="0"/>
        <w:contextualSpacing/>
        <w:jc w:val="center"/>
        <w:rPr>
          <w:sz w:val="24"/>
          <w:szCs w:val="24"/>
        </w:rPr>
      </w:pPr>
      <w:r>
        <w:rPr>
          <w:rFonts w:ascii="Times New Roman" w:hAnsi="Times New Roman"/>
          <w:b/>
          <w:color w:val="121212"/>
          <w:spacing w:val="-1"/>
          <w:sz w:val="24"/>
          <w:szCs w:val="24"/>
          <w:shd w:fill="FFFFFF" w:val="clear"/>
        </w:rPr>
        <w:t>ВИРІШЕННЯ СПОРІВ</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У випадку виникнення спорів або розбіжностей Сторони зобов’язуються вирішувати  їх  шляхом  взаємних  переговорів  та  консультацій.</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У разі недосягнення сторонами згоди спори (розбіжності) вирішуються у судовому порядку.</w:t>
      </w:r>
    </w:p>
    <w:p>
      <w:pPr>
        <w:pStyle w:val="ListParagraph"/>
        <w:widowControl w:val="false"/>
        <w:numPr>
          <w:ilvl w:val="1"/>
          <w:numId w:val="2"/>
        </w:numPr>
        <w:tabs>
          <w:tab w:val="clear" w:pos="709"/>
          <w:tab w:val="left" w:pos="1134" w:leader="none"/>
          <w:tab w:val="left" w:pos="5467" w:leader="none"/>
        </w:tabs>
        <w:spacing w:before="0" w:after="0"/>
        <w:ind w:left="0" w:right="0" w:firstLine="567"/>
        <w:contextualSpacing/>
        <w:jc w:val="both"/>
        <w:rPr>
          <w:rFonts w:ascii="Times New Roman" w:hAnsi="Times New Roman"/>
          <w:color w:val="121212"/>
          <w:spacing w:val="-1"/>
          <w:sz w:val="24"/>
          <w:szCs w:val="24"/>
          <w:shd w:fill="FFFFFF" w:val="clear"/>
        </w:rPr>
      </w:pPr>
      <w:r>
        <w:rPr>
          <w:rFonts w:ascii="Times New Roman" w:hAnsi="Times New Roman"/>
          <w:color w:val="121212"/>
          <w:spacing w:val="-1"/>
          <w:sz w:val="24"/>
          <w:szCs w:val="24"/>
          <w:shd w:fill="FFFFFF" w:val="clear"/>
        </w:rPr>
      </w:r>
    </w:p>
    <w:p>
      <w:pPr>
        <w:pStyle w:val="ListParagraph"/>
        <w:widowControl w:val="false"/>
        <w:tabs>
          <w:tab w:val="clear" w:pos="709"/>
          <w:tab w:val="left" w:pos="5467" w:leader="none"/>
        </w:tabs>
        <w:spacing w:before="0" w:after="0"/>
        <w:ind w:left="0" w:right="0" w:hanging="0"/>
        <w:contextualSpacing/>
        <w:jc w:val="center"/>
        <w:rPr>
          <w:sz w:val="24"/>
          <w:szCs w:val="24"/>
        </w:rPr>
      </w:pPr>
      <w:r>
        <w:rPr>
          <w:rFonts w:ascii="Times New Roman" w:hAnsi="Times New Roman"/>
          <w:b/>
          <w:color w:val="121212"/>
          <w:spacing w:val="-1"/>
          <w:sz w:val="24"/>
          <w:szCs w:val="24"/>
          <w:shd w:fill="FFFFFF" w:val="clear"/>
          <w:lang w:val="uk-UA"/>
        </w:rPr>
        <w:t>10.</w:t>
      </w:r>
      <w:r>
        <w:rPr>
          <w:rFonts w:ascii="Times New Roman" w:hAnsi="Times New Roman"/>
          <w:b/>
          <w:color w:val="121212"/>
          <w:spacing w:val="-1"/>
          <w:sz w:val="24"/>
          <w:szCs w:val="24"/>
          <w:shd w:fill="FFFFFF" w:val="clear"/>
        </w:rPr>
        <w:t>СТРОК ДІЇ ДОГОВОРУ</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sz w:val="24"/>
          <w:szCs w:val="24"/>
        </w:rPr>
        <w:t>Договір діє з</w:t>
      </w:r>
      <w:r>
        <w:rPr>
          <w:rFonts w:ascii="Times New Roman" w:hAnsi="Times New Roman"/>
          <w:sz w:val="24"/>
          <w:szCs w:val="24"/>
          <w:lang w:val="uk-UA"/>
        </w:rPr>
        <w:t xml:space="preserve"> моменту підписання</w:t>
      </w:r>
      <w:r>
        <w:rPr>
          <w:rFonts w:ascii="Times New Roman" w:hAnsi="Times New Roman"/>
          <w:sz w:val="24"/>
          <w:szCs w:val="24"/>
        </w:rPr>
        <w:t xml:space="preserve"> до 31.12. 202</w:t>
      </w:r>
      <w:r>
        <w:rPr>
          <w:rFonts w:ascii="Times New Roman" w:hAnsi="Times New Roman"/>
          <w:sz w:val="24"/>
          <w:szCs w:val="24"/>
          <w:lang w:val="uk-UA"/>
        </w:rPr>
        <w:t>4</w:t>
      </w:r>
      <w:r>
        <w:rPr>
          <w:rFonts w:ascii="Times New Roman" w:hAnsi="Times New Roman"/>
          <w:sz w:val="24"/>
          <w:szCs w:val="24"/>
        </w:rPr>
        <w:t xml:space="preserve">  року і набирає чинності з дня його укладання </w:t>
      </w:r>
      <w:r>
        <w:rPr>
          <w:rFonts w:ascii="Times New Roman" w:hAnsi="Times New Roman"/>
          <w:color w:val="121212"/>
          <w:spacing w:val="-1"/>
          <w:sz w:val="24"/>
          <w:szCs w:val="24"/>
          <w:shd w:fill="FFFFFF" w:val="clear"/>
        </w:rPr>
        <w:t>та діє  до моменту повного виконання Сторонами своїх зобов’язань за Договором, у тому числі до моменту повного здійснення розрахунків.</w:t>
      </w:r>
    </w:p>
    <w:p>
      <w:pPr>
        <w:pStyle w:val="ListParagraph"/>
        <w:widowControl w:val="false"/>
        <w:numPr>
          <w:ilvl w:val="1"/>
          <w:numId w:val="4"/>
        </w:numPr>
        <w:tabs>
          <w:tab w:val="clear" w:pos="709"/>
          <w:tab w:val="left" w:pos="1134" w:leader="none"/>
          <w:tab w:val="left" w:pos="5467" w:leader="none"/>
        </w:tabs>
        <w:spacing w:before="0" w:after="0"/>
        <w:ind w:left="0" w:right="0" w:firstLine="567"/>
        <w:contextualSpacing/>
        <w:jc w:val="both"/>
        <w:rPr>
          <w:sz w:val="24"/>
          <w:szCs w:val="24"/>
        </w:rPr>
      </w:pPr>
      <w:r>
        <w:rPr>
          <w:rFonts w:ascii="Times New Roman" w:hAnsi="Times New Roman"/>
          <w:color w:val="121212"/>
          <w:spacing w:val="-1"/>
          <w:sz w:val="24"/>
          <w:szCs w:val="24"/>
          <w:shd w:fill="FFFFFF" w:val="clear"/>
        </w:rPr>
        <w:t>Договір укладається і підписується у двох  примірниках, що мають однакову юридичну силу.</w:t>
      </w:r>
    </w:p>
    <w:p>
      <w:pPr>
        <w:pStyle w:val="ListParagraph"/>
        <w:widowControl w:val="false"/>
        <w:tabs>
          <w:tab w:val="clear" w:pos="709"/>
          <w:tab w:val="left" w:pos="5467" w:leader="none"/>
        </w:tabs>
        <w:spacing w:before="0" w:after="0"/>
        <w:ind w:left="0" w:right="0" w:hanging="0"/>
        <w:contextualSpacing/>
        <w:jc w:val="center"/>
        <w:rPr>
          <w:sz w:val="24"/>
          <w:szCs w:val="24"/>
        </w:rPr>
      </w:pPr>
      <w:r>
        <w:rPr>
          <w:rFonts w:ascii="Times New Roman" w:hAnsi="Times New Roman"/>
          <w:b/>
          <w:color w:val="121212"/>
          <w:spacing w:val="-1"/>
          <w:sz w:val="24"/>
          <w:szCs w:val="24"/>
          <w:shd w:fill="FFFFFF" w:val="clear"/>
          <w:lang w:val="uk-UA"/>
        </w:rPr>
        <w:t>11.</w:t>
      </w:r>
      <w:r>
        <w:rPr>
          <w:rFonts w:ascii="Times New Roman" w:hAnsi="Times New Roman"/>
          <w:b/>
          <w:color w:val="121212"/>
          <w:spacing w:val="-1"/>
          <w:sz w:val="24"/>
          <w:szCs w:val="24"/>
          <w:shd w:fill="FFFFFF" w:val="clear"/>
        </w:rPr>
        <w:t>ПОРЯДОК ЗМІНИ УМОВ  ДОГОВОРУ</w:t>
      </w:r>
    </w:p>
    <w:p>
      <w:pPr>
        <w:pStyle w:val="Normal"/>
        <w:widowControl w:val="false"/>
        <w:numPr>
          <w:ilvl w:val="1"/>
          <w:numId w:val="9"/>
        </w:numPr>
        <w:tabs>
          <w:tab w:val="clear" w:pos="709"/>
          <w:tab w:val="left" w:pos="1276" w:leader="none"/>
          <w:tab w:val="left" w:pos="5467" w:leader="none"/>
        </w:tabs>
        <w:spacing w:before="0" w:after="0"/>
        <w:ind w:left="0" w:firstLine="567"/>
        <w:contextualSpacing/>
        <w:jc w:val="both"/>
        <w:rPr>
          <w:sz w:val="24"/>
          <w:szCs w:val="24"/>
        </w:rPr>
      </w:pPr>
      <w:r>
        <w:rPr>
          <w:rFonts w:ascii="Times New Roman" w:hAnsi="Times New Roman"/>
          <w:color w:val="000000"/>
          <w:spacing w:val="-1"/>
          <w:sz w:val="24"/>
          <w:szCs w:val="24"/>
          <w:shd w:fill="FFFFFF" w:val="clear"/>
        </w:rPr>
        <w:t>Порядок змін та умов договору укладається відповідно до ст.41 ЗУ «Про публічні закупівлі»</w:t>
      </w:r>
      <w:r>
        <w:rPr>
          <w:rFonts w:ascii="Times New Roman" w:hAnsi="Times New Roman"/>
          <w:color w:val="000000"/>
          <w:spacing w:val="-1"/>
          <w:sz w:val="24"/>
          <w:szCs w:val="24"/>
          <w:shd w:fill="FFFFFF" w:val="clear"/>
          <w:lang w:val="uk-UA"/>
        </w:rPr>
        <w:t xml:space="preserve"> та пунктом 19 Особливостей</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Договір може бути доповнений чи змінений тільки за письмовою згодою Сторін відповідно до вимог чинного законодавства України.</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Зменшення обсягів закупівлі, зокрема з урахуванням фактичного обсягу видатків Замовника.</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Покращення якості предмета закупівлі, за умови що таке покращення не призведе до збільшення суми, визначеної, визначеної в п. 2.8. Договору.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Pr>
          <w:rFonts w:ascii="Times New Roman" w:hAnsi="Times New Roman"/>
          <w:color w:val="000000"/>
          <w:spacing w:val="-1"/>
          <w:sz w:val="24"/>
          <w:szCs w:val="24"/>
          <w:shd w:fill="FFFFFF" w:val="clear"/>
        </w:rPr>
        <w:t>.</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pPr>
        <w:pStyle w:val="ListParagraph"/>
        <w:widowControl w:val="false"/>
        <w:numPr>
          <w:ilvl w:val="2"/>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ascii="Times New Roman" w:hAnsi="Times New Roman"/>
          <w:color w:val="000000"/>
          <w:spacing w:val="-1"/>
          <w:sz w:val="24"/>
          <w:szCs w:val="24"/>
          <w:shd w:fill="FFFFFF" w:val="clear"/>
        </w:rPr>
        <w:t>.</w:t>
      </w:r>
    </w:p>
    <w:p>
      <w:pPr>
        <w:pStyle w:val="ListParagraph"/>
        <w:widowControl w:val="false"/>
        <w:numPr>
          <w:ilvl w:val="1"/>
          <w:numId w:val="10"/>
        </w:numPr>
        <w:tabs>
          <w:tab w:val="clear" w:pos="709"/>
          <w:tab w:val="left" w:pos="1276" w:leader="none"/>
          <w:tab w:val="left" w:pos="5467" w:leader="none"/>
        </w:tabs>
        <w:spacing w:before="0" w:after="0"/>
        <w:ind w:left="0" w:right="0" w:firstLine="567"/>
        <w:contextualSpacing/>
        <w:jc w:val="both"/>
        <w:rPr>
          <w:sz w:val="24"/>
          <w:szCs w:val="24"/>
        </w:rPr>
      </w:pPr>
      <w:r>
        <w:rPr>
          <w:rFonts w:ascii="Times New Roman" w:hAnsi="Times New Roman"/>
          <w:color w:val="000000"/>
          <w:spacing w:val="-1"/>
          <w:sz w:val="24"/>
          <w:szCs w:val="24"/>
          <w:shd w:fill="FFFFFF" w:val="clear"/>
        </w:rPr>
        <w:t xml:space="preserve"> </w:t>
      </w:r>
      <w:r>
        <w:rPr>
          <w:rFonts w:ascii="Times New Roman" w:hAnsi="Times New Roman"/>
          <w:color w:val="000000"/>
          <w:spacing w:val="-1"/>
          <w:sz w:val="24"/>
          <w:szCs w:val="24"/>
          <w:shd w:fill="FFFFFF" w:val="clear"/>
        </w:rPr>
        <w:t>Усі зміни та доповнення до Договору узгоджуються Сторонами шляхом укладання додаткової угоди.</w:t>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0" w:right="0" w:firstLine="567"/>
        <w:contextualSpacing/>
        <w:jc w:val="both"/>
        <w:rPr>
          <w:sz w:val="24"/>
          <w:szCs w:val="24"/>
        </w:rPr>
      </w:pPr>
      <w:r>
        <w:rPr>
          <w:sz w:val="24"/>
          <w:szCs w:val="24"/>
        </w:rPr>
      </w:r>
    </w:p>
    <w:p>
      <w:pPr>
        <w:pStyle w:val="ListParagraph"/>
        <w:widowControl w:val="false"/>
        <w:tabs>
          <w:tab w:val="clear" w:pos="709"/>
          <w:tab w:val="left" w:pos="1276" w:leader="none"/>
          <w:tab w:val="left" w:pos="5467" w:leader="none"/>
        </w:tabs>
        <w:spacing w:before="0" w:after="0"/>
        <w:ind w:left="567" w:right="0" w:hanging="0"/>
        <w:contextualSpacing/>
        <w:jc w:val="both"/>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ind w:left="142" w:right="0" w:hanging="0"/>
        <w:contextualSpacing/>
        <w:jc w:val="center"/>
        <w:rPr>
          <w:sz w:val="24"/>
          <w:szCs w:val="24"/>
        </w:rPr>
      </w:pPr>
      <w:r>
        <w:rPr>
          <w:rFonts w:ascii="Times New Roman" w:hAnsi="Times New Roman"/>
          <w:b/>
          <w:color w:val="000000"/>
          <w:spacing w:val="-1"/>
          <w:sz w:val="24"/>
          <w:szCs w:val="24"/>
          <w:shd w:fill="FFFFFF" w:val="clear"/>
          <w:lang w:val="uk-UA"/>
        </w:rPr>
        <w:t>12.</w:t>
      </w:r>
      <w:r>
        <w:rPr>
          <w:rFonts w:ascii="Times New Roman" w:hAnsi="Times New Roman"/>
          <w:b/>
          <w:color w:val="000000"/>
          <w:spacing w:val="-1"/>
          <w:sz w:val="24"/>
          <w:szCs w:val="24"/>
          <w:shd w:fill="FFFFFF" w:val="clear"/>
        </w:rPr>
        <w:t>ДОДАТКИ ДО ДОГОВОРУ.</w:t>
      </w:r>
    </w:p>
    <w:p>
      <w:pPr>
        <w:pStyle w:val="ListParagraph"/>
        <w:widowControl w:val="false"/>
        <w:numPr>
          <w:ilvl w:val="1"/>
          <w:numId w:val="5"/>
        </w:numPr>
        <w:tabs>
          <w:tab w:val="clear" w:pos="709"/>
          <w:tab w:val="left" w:pos="1276" w:leader="none"/>
          <w:tab w:val="left" w:pos="5467" w:leader="none"/>
        </w:tabs>
        <w:spacing w:before="0" w:after="0"/>
        <w:contextualSpacing/>
        <w:rPr>
          <w:sz w:val="24"/>
          <w:szCs w:val="24"/>
        </w:rPr>
      </w:pPr>
      <w:r>
        <w:rPr>
          <w:rFonts w:ascii="Times New Roman" w:hAnsi="Times New Roman"/>
          <w:color w:val="000000"/>
          <w:spacing w:val="-1"/>
          <w:sz w:val="24"/>
          <w:szCs w:val="24"/>
          <w:shd w:fill="FFFFFF" w:val="clear"/>
        </w:rPr>
        <w:t>Невід’ємною частиною цього Договору є Специфікація (Додаток 1)</w:t>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ListParagraph"/>
        <w:widowControl w:val="false"/>
        <w:tabs>
          <w:tab w:val="clear" w:pos="709"/>
          <w:tab w:val="left" w:pos="1276" w:leader="none"/>
          <w:tab w:val="left" w:pos="5467" w:leader="none"/>
        </w:tabs>
        <w:spacing w:before="0" w:after="0"/>
        <w:contextualSpacing/>
        <w:rPr>
          <w:rFonts w:ascii="Times New Roman" w:hAnsi="Times New Roman"/>
          <w:color w:val="000000"/>
          <w:spacing w:val="-1"/>
          <w:sz w:val="24"/>
          <w:szCs w:val="24"/>
          <w:shd w:fill="FFFFFF" w:val="clear"/>
        </w:rPr>
      </w:pPr>
      <w:r>
        <w:rPr>
          <w:rFonts w:ascii="Times New Roman" w:hAnsi="Times New Roman"/>
          <w:color w:val="000000"/>
          <w:spacing w:val="-1"/>
          <w:sz w:val="24"/>
          <w:szCs w:val="24"/>
          <w:shd w:fill="FFFFFF" w:val="clear"/>
        </w:rPr>
      </w:r>
    </w:p>
    <w:p>
      <w:pPr>
        <w:pStyle w:val="Normal"/>
        <w:widowControl w:val="false"/>
        <w:tabs>
          <w:tab w:val="clear" w:pos="709"/>
          <w:tab w:val="left" w:pos="5467" w:leader="none"/>
        </w:tabs>
        <w:spacing w:before="0" w:after="0"/>
        <w:ind w:left="5" w:hanging="0"/>
        <w:jc w:val="both"/>
        <w:rPr>
          <w:rFonts w:ascii="Times New Roman" w:hAnsi="Times New Roman"/>
          <w:color w:val="000000"/>
          <w:spacing w:val="-2"/>
          <w:sz w:val="24"/>
          <w:szCs w:val="24"/>
          <w:shd w:fill="FFFFFF" w:val="clear"/>
        </w:rPr>
      </w:pPr>
      <w:r>
        <w:rPr>
          <w:rFonts w:ascii="Times New Roman" w:hAnsi="Times New Roman"/>
          <w:color w:val="000000"/>
          <w:spacing w:val="-2"/>
          <w:sz w:val="24"/>
          <w:szCs w:val="24"/>
          <w:shd w:fill="FFFFFF" w:val="clear"/>
        </w:rPr>
      </w:r>
    </w:p>
    <w:p>
      <w:pPr>
        <w:pStyle w:val="ListParagraph"/>
        <w:widowControl w:val="false"/>
        <w:tabs>
          <w:tab w:val="clear" w:pos="709"/>
          <w:tab w:val="left" w:pos="5467" w:leader="none"/>
        </w:tabs>
        <w:spacing w:before="0" w:after="0"/>
        <w:ind w:left="142" w:right="0" w:hanging="0"/>
        <w:contextualSpacing/>
        <w:jc w:val="center"/>
        <w:rPr>
          <w:sz w:val="24"/>
          <w:szCs w:val="24"/>
        </w:rPr>
      </w:pPr>
      <w:r>
        <w:rPr>
          <w:rFonts w:ascii="Times New Roman" w:hAnsi="Times New Roman"/>
          <w:b/>
          <w:color w:val="121212"/>
          <w:spacing w:val="-1"/>
          <w:sz w:val="24"/>
          <w:szCs w:val="24"/>
          <w:shd w:fill="FFFFFF" w:val="clear"/>
          <w:lang w:val="uk-UA"/>
        </w:rPr>
        <w:t>13.</w:t>
      </w:r>
      <w:r>
        <w:rPr>
          <w:rFonts w:ascii="Times New Roman" w:hAnsi="Times New Roman"/>
          <w:b/>
          <w:color w:val="121212"/>
          <w:spacing w:val="-1"/>
          <w:sz w:val="24"/>
          <w:szCs w:val="24"/>
          <w:shd w:fill="FFFFFF" w:val="clear"/>
        </w:rPr>
        <w:t>МІСЦЕЗНАХОДЖЕННЯ ТА БАНКІВСЬКІ РЕКВІЗИТИ СТОРІН:</w:t>
      </w:r>
    </w:p>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tbl>
      <w:tblPr>
        <w:tblW w:w="5000" w:type="pct"/>
        <w:jc w:val="left"/>
        <w:tblInd w:w="108" w:type="dxa"/>
        <w:tblLayout w:type="fixed"/>
        <w:tblCellMar>
          <w:top w:w="0" w:type="dxa"/>
          <w:left w:w="108" w:type="dxa"/>
          <w:bottom w:w="0" w:type="dxa"/>
          <w:right w:w="108" w:type="dxa"/>
        </w:tblCellMar>
        <w:tblLook w:firstRow="1" w:noVBand="0" w:lastRow="0" w:firstColumn="1" w:lastColumn="0" w:noHBand="0" w:val="00a0"/>
      </w:tblPr>
      <w:tblGrid>
        <w:gridCol w:w="4677"/>
        <w:gridCol w:w="4677"/>
      </w:tblGrid>
      <w:tr>
        <w:trPr>
          <w:trHeight w:val="24" w:hRule="atLeast"/>
        </w:trPr>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ЗАМОВНИК</w:t>
            </w:r>
          </w:p>
        </w:tc>
        <w:tc>
          <w:tcPr>
            <w:tcW w:w="4677" w:type="dxa"/>
            <w:tcBorders/>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ПОСТАЧАЛЬНИК</w:t>
            </w:r>
          </w:p>
        </w:tc>
      </w:tr>
      <w:tr>
        <w:trPr>
          <w:trHeight w:val="216" w:hRule="atLeast"/>
        </w:trPr>
        <w:tc>
          <w:tcPr>
            <w:tcW w:w="4677" w:type="dxa"/>
            <w:tcBorders/>
          </w:tcPr>
          <w:tbl>
            <w:tblPr>
              <w:tblW w:w="4488" w:type="dxa"/>
              <w:jc w:val="left"/>
              <w:tblInd w:w="120" w:type="dxa"/>
              <w:tblLayout w:type="fixed"/>
              <w:tblCellMar>
                <w:top w:w="0" w:type="dxa"/>
                <w:left w:w="108" w:type="dxa"/>
                <w:bottom w:w="0" w:type="dxa"/>
                <w:right w:w="108" w:type="dxa"/>
              </w:tblCellMar>
              <w:tblLook w:firstRow="1" w:noVBand="1" w:lastRow="0" w:firstColumn="1" w:lastColumn="0" w:noHBand="0" w:val="04a0"/>
            </w:tblPr>
            <w:tblGrid>
              <w:gridCol w:w="4488"/>
            </w:tblGrid>
            <w:tr>
              <w:trPr>
                <w:trHeight w:val="29" w:hRule="atLeast"/>
              </w:trPr>
              <w:tc>
                <w:tcPr>
                  <w:tcW w:w="4488" w:type="dxa"/>
                  <w:tcBorders/>
                  <w:vAlign w:val="center"/>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Довжоцький будинок-інтернат для громадян похилого віку та  осіб з інвалідністю</w:t>
                  </w:r>
                </w:p>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tc>
            </w:tr>
            <w:tr>
              <w:trPr>
                <w:trHeight w:val="238" w:hRule="atLeast"/>
              </w:trPr>
              <w:tc>
                <w:tcPr>
                  <w:tcW w:w="4488" w:type="dxa"/>
                  <w:tcBorders/>
                </w:tcPr>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Адреса:32300</w:t>
                  </w:r>
                  <w:r>
                    <w:rPr>
                      <w:rFonts w:ascii="Times New Roman" w:hAnsi="Times New Roman"/>
                      <w:spacing w:val="-4"/>
                      <w:sz w:val="24"/>
                      <w:szCs w:val="24"/>
                      <w:lang w:val="uk-UA"/>
                    </w:rPr>
                    <w:t>, Україна, Хмельницька обл, Кам’янець — Подільський р-н, м. Кам'янець -Подільський,  вул. Олександра Удовиченка, 78</w:t>
                  </w:r>
                </w:p>
                <w:p>
                  <w:pPr>
                    <w:pStyle w:val="Normal"/>
                    <w:widowControl w:val="false"/>
                    <w:spacing w:lineRule="auto" w:line="240" w:before="0" w:after="0"/>
                    <w:rPr>
                      <w:rFonts w:ascii="Times New Roman" w:hAnsi="Times New Roman"/>
                      <w:sz w:val="24"/>
                      <w:szCs w:val="24"/>
                      <w:lang w:val="uk-UA"/>
                    </w:rPr>
                  </w:pPr>
                  <w:r>
                    <w:rPr>
                      <w:rFonts w:ascii="Times New Roman" w:hAnsi="Times New Roman"/>
                      <w:spacing w:val="-4"/>
                      <w:sz w:val="24"/>
                      <w:szCs w:val="24"/>
                      <w:lang w:val="uk-UA"/>
                    </w:rPr>
                    <w:t>ЄДРПОУ: 22770738</w:t>
                  </w:r>
                </w:p>
                <w:p>
                  <w:pPr>
                    <w:pStyle w:val="Normal"/>
                    <w:widowControl w:val="false"/>
                    <w:spacing w:lineRule="auto" w:line="240" w:before="0" w:after="0"/>
                    <w:rPr>
                      <w:rFonts w:ascii="Times New Roman" w:hAnsi="Times New Roman"/>
                      <w:spacing w:val="-4"/>
                      <w:sz w:val="24"/>
                      <w:szCs w:val="24"/>
                    </w:rPr>
                  </w:pPr>
                  <w:r>
                    <w:rPr>
                      <w:rFonts w:ascii="Times New Roman" w:hAnsi="Times New Roman"/>
                      <w:spacing w:val="-4"/>
                      <w:sz w:val="24"/>
                      <w:szCs w:val="24"/>
                      <w:lang w:val="uk-UA"/>
                    </w:rPr>
                    <w:t xml:space="preserve">р/р </w:t>
                  </w:r>
                  <w:r>
                    <w:rPr>
                      <w:rFonts w:ascii="Times New Roman" w:hAnsi="Times New Roman"/>
                      <w:spacing w:val="-4"/>
                      <w:sz w:val="24"/>
                      <w:szCs w:val="24"/>
                      <w:lang w:val="en-US"/>
                    </w:rPr>
                    <w:t>UA</w:t>
                  </w:r>
                  <w:r>
                    <w:rPr>
                      <w:rFonts w:ascii="Times New Roman" w:hAnsi="Times New Roman"/>
                      <w:spacing w:val="-4"/>
                      <w:sz w:val="24"/>
                      <w:szCs w:val="24"/>
                      <w:lang w:val="uk-UA"/>
                    </w:rPr>
                    <w:t xml:space="preserve"> 818201720344211003300032019</w:t>
                  </w:r>
                </w:p>
                <w:p>
                  <w:pPr>
                    <w:pStyle w:val="Normal"/>
                    <w:widowControl w:val="false"/>
                    <w:spacing w:lineRule="auto" w:line="240" w:before="0" w:after="0"/>
                    <w:rPr>
                      <w:rFonts w:ascii="Times New Roman" w:hAnsi="Times New Roman"/>
                      <w:spacing w:val="-4"/>
                      <w:sz w:val="24"/>
                      <w:szCs w:val="24"/>
                      <w:lang w:val="uk-UA"/>
                    </w:rPr>
                  </w:pPr>
                  <w:r>
                    <w:rPr>
                      <w:rFonts w:cs="Times New Roman" w:ascii="Times New Roman" w:hAnsi="Times New Roman"/>
                      <w:spacing w:val="-4"/>
                      <w:sz w:val="24"/>
                      <w:szCs w:val="24"/>
                      <w:lang w:val="uk-UA"/>
                    </w:rPr>
                    <w:t>р/р UA388201720344210003000032109</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Держказначейській службі України,</w:t>
                  </w:r>
                </w:p>
                <w:p>
                  <w:pPr>
                    <w:pStyle w:val="Normal"/>
                    <w:widowControl w:val="false"/>
                    <w:spacing w:lineRule="auto" w:line="240" w:before="0" w:after="0"/>
                    <w:rPr>
                      <w:rFonts w:ascii="Times New Roman" w:hAnsi="Times New Roman"/>
                      <w:spacing w:val="-4"/>
                      <w:sz w:val="24"/>
                      <w:szCs w:val="24"/>
                      <w:lang w:val="uk-UA"/>
                    </w:rPr>
                  </w:pPr>
                  <w:r>
                    <w:rPr>
                      <w:rFonts w:ascii="Times New Roman" w:hAnsi="Times New Roman"/>
                      <w:spacing w:val="-4"/>
                      <w:sz w:val="24"/>
                      <w:szCs w:val="24"/>
                      <w:lang w:val="uk-UA"/>
                    </w:rPr>
                    <w:t>в м. Київ МФО 820172</w:t>
                  </w:r>
                </w:p>
                <w:p>
                  <w:pPr>
                    <w:pStyle w:val="Normal"/>
                    <w:widowControl w:val="false"/>
                    <w:spacing w:lineRule="auto" w:line="240" w:before="0" w:after="0"/>
                    <w:rPr>
                      <w:rFonts w:ascii="Times New Roman" w:hAnsi="Times New Roman"/>
                      <w:spacing w:val="-4"/>
                      <w:sz w:val="24"/>
                      <w:szCs w:val="24"/>
                    </w:rPr>
                  </w:pPr>
                  <w:r>
                    <w:rPr>
                      <w:rFonts w:ascii="Times New Roman" w:hAnsi="Times New Roman"/>
                      <w:spacing w:val="-4"/>
                      <w:sz w:val="24"/>
                      <w:szCs w:val="24"/>
                      <w:lang w:val="en-US"/>
                    </w:rPr>
                    <w:t>E</w:t>
                  </w:r>
                  <w:r>
                    <w:rPr>
                      <w:rFonts w:ascii="Times New Roman" w:hAnsi="Times New Roman"/>
                      <w:spacing w:val="-4"/>
                      <w:sz w:val="24"/>
                      <w:szCs w:val="24"/>
                    </w:rPr>
                    <w:t>-</w:t>
                  </w:r>
                  <w:r>
                    <w:rPr>
                      <w:rFonts w:ascii="Times New Roman" w:hAnsi="Times New Roman"/>
                      <w:spacing w:val="-4"/>
                      <w:sz w:val="24"/>
                      <w:szCs w:val="24"/>
                      <w:lang w:val="en-US"/>
                    </w:rPr>
                    <w:t>mail</w:t>
                  </w:r>
                  <w:r>
                    <w:rPr>
                      <w:rFonts w:ascii="Times New Roman" w:hAnsi="Times New Roman"/>
                      <w:spacing w:val="-4"/>
                      <w:sz w:val="24"/>
                      <w:szCs w:val="24"/>
                    </w:rPr>
                    <w:t xml:space="preserve">: </w:t>
                  </w:r>
                  <w:r>
                    <w:rPr>
                      <w:rFonts w:ascii="Times New Roman" w:hAnsi="Times New Roman"/>
                      <w:spacing w:val="-4"/>
                      <w:sz w:val="24"/>
                      <w:szCs w:val="24"/>
                      <w:lang w:val="en-US"/>
                    </w:rPr>
                    <w:t>dovjok</w:t>
                  </w:r>
                  <w:r>
                    <w:rPr>
                      <w:rFonts w:ascii="Times New Roman" w:hAnsi="Times New Roman"/>
                      <w:spacing w:val="-4"/>
                      <w:sz w:val="24"/>
                      <w:szCs w:val="24"/>
                    </w:rPr>
                    <w:t>-</w:t>
                  </w:r>
                  <w:r>
                    <w:rPr>
                      <w:rFonts w:ascii="Times New Roman" w:hAnsi="Times New Roman"/>
                      <w:spacing w:val="-4"/>
                      <w:sz w:val="24"/>
                      <w:szCs w:val="24"/>
                      <w:lang w:val="en-US"/>
                    </w:rPr>
                    <w:t>bi</w:t>
                  </w:r>
                  <w:r>
                    <w:rPr>
                      <w:rFonts w:ascii="Times New Roman" w:hAnsi="Times New Roman"/>
                      <w:spacing w:val="-4"/>
                      <w:sz w:val="24"/>
                      <w:szCs w:val="24"/>
                    </w:rPr>
                    <w:t>@</w:t>
                  </w:r>
                  <w:r>
                    <w:rPr>
                      <w:rFonts w:ascii="Times New Roman" w:hAnsi="Times New Roman"/>
                      <w:spacing w:val="-4"/>
                      <w:sz w:val="24"/>
                      <w:szCs w:val="24"/>
                      <w:lang w:val="en-US"/>
                    </w:rPr>
                    <w:t>ukr</w:t>
                  </w:r>
                  <w:r>
                    <w:rPr>
                      <w:rFonts w:ascii="Times New Roman" w:hAnsi="Times New Roman"/>
                      <w:spacing w:val="-4"/>
                      <w:sz w:val="24"/>
                      <w:szCs w:val="24"/>
                    </w:rPr>
                    <w:t>.</w:t>
                  </w:r>
                  <w:r>
                    <w:rPr>
                      <w:rFonts w:ascii="Times New Roman" w:hAnsi="Times New Roman"/>
                      <w:spacing w:val="-4"/>
                      <w:sz w:val="24"/>
                      <w:szCs w:val="24"/>
                      <w:lang w:val="en-US"/>
                    </w:rPr>
                    <w:t>net</w:t>
                  </w:r>
                </w:p>
                <w:p>
                  <w:pPr>
                    <w:pStyle w:val="Normal"/>
                    <w:widowControl w:val="false"/>
                    <w:spacing w:lineRule="auto" w:line="240" w:before="0" w:after="0"/>
                    <w:rPr>
                      <w:rFonts w:ascii="Times New Roman" w:hAnsi="Times New Roman"/>
                      <w:sz w:val="24"/>
                      <w:szCs w:val="24"/>
                    </w:rPr>
                  </w:pPr>
                  <w:r>
                    <w:rPr>
                      <w:rFonts w:ascii="Times New Roman" w:hAnsi="Times New Roman"/>
                      <w:spacing w:val="-4"/>
                      <w:sz w:val="24"/>
                      <w:szCs w:val="24"/>
                      <w:lang w:val="uk-UA"/>
                    </w:rPr>
                    <w:t>Телефон/факс</w:t>
                  </w:r>
                  <w:r>
                    <w:rPr>
                      <w:rFonts w:ascii="Times New Roman" w:hAnsi="Times New Roman"/>
                      <w:sz w:val="24"/>
                      <w:szCs w:val="24"/>
                      <w:lang w:val="uk-UA"/>
                    </w:rPr>
                    <w:t xml:space="preserve">:  </w:t>
                  </w:r>
                  <w:r>
                    <w:rPr>
                      <w:rFonts w:ascii="Times New Roman" w:hAnsi="Times New Roman"/>
                      <w:sz w:val="24"/>
                      <w:szCs w:val="24"/>
                    </w:rPr>
                    <w:t>(</w:t>
                  </w:r>
                  <w:r>
                    <w:rPr>
                      <w:rFonts w:ascii="Times New Roman" w:hAnsi="Times New Roman"/>
                      <w:sz w:val="24"/>
                      <w:szCs w:val="24"/>
                      <w:lang w:val="uk-UA"/>
                    </w:rPr>
                    <w:t>03849</w:t>
                  </w:r>
                  <w:r>
                    <w:rPr>
                      <w:rFonts w:ascii="Times New Roman" w:hAnsi="Times New Roman"/>
                      <w:sz w:val="24"/>
                      <w:szCs w:val="24"/>
                    </w:rPr>
                    <w:t xml:space="preserve">) </w:t>
                  </w:r>
                  <w:r>
                    <w:rPr>
                      <w:rFonts w:ascii="Times New Roman" w:hAnsi="Times New Roman"/>
                      <w:sz w:val="24"/>
                      <w:szCs w:val="24"/>
                      <w:lang w:val="uk-UA"/>
                    </w:rPr>
                    <w:t>9</w:t>
                  </w:r>
                  <w:r>
                    <w:rPr>
                      <w:rFonts w:ascii="Times New Roman" w:hAnsi="Times New Roman"/>
                      <w:sz w:val="24"/>
                      <w:szCs w:val="24"/>
                    </w:rPr>
                    <w:t>-</w:t>
                  </w:r>
                  <w:r>
                    <w:rPr>
                      <w:rFonts w:ascii="Times New Roman" w:hAnsi="Times New Roman"/>
                      <w:sz w:val="24"/>
                      <w:szCs w:val="24"/>
                      <w:lang w:val="uk-UA"/>
                    </w:rPr>
                    <w:t>43</w:t>
                  </w:r>
                  <w:r>
                    <w:rPr>
                      <w:rFonts w:ascii="Times New Roman" w:hAnsi="Times New Roman"/>
                      <w:sz w:val="24"/>
                      <w:szCs w:val="24"/>
                    </w:rPr>
                    <w:t>-</w:t>
                  </w:r>
                  <w:r>
                    <w:rPr>
                      <w:rFonts w:ascii="Times New Roman" w:hAnsi="Times New Roman"/>
                      <w:sz w:val="24"/>
                      <w:szCs w:val="24"/>
                      <w:lang w:val="uk-UA"/>
                    </w:rPr>
                    <w:t>30</w:t>
                  </w:r>
                </w:p>
                <w:p>
                  <w:pPr>
                    <w:pStyle w:val="Normal"/>
                    <w:widowControl w:val="false"/>
                    <w:spacing w:lineRule="auto" w:line="252" w:before="0" w:after="0"/>
                    <w:ind w:right="-18" w:hanging="0"/>
                    <w:jc w:val="both"/>
                    <w:rPr>
                      <w:rFonts w:ascii="Times New Roman" w:hAnsi="Times New Roman"/>
                      <w:b/>
                      <w:b/>
                      <w:sz w:val="24"/>
                      <w:szCs w:val="24"/>
                      <w:lang w:val="uk-UA"/>
                    </w:rPr>
                  </w:pPr>
                  <w:r>
                    <w:rPr>
                      <w:rFonts w:ascii="Times New Roman" w:hAnsi="Times New Roman"/>
                      <w:b/>
                      <w:sz w:val="24"/>
                      <w:szCs w:val="24"/>
                      <w:lang w:val="uk-UA"/>
                    </w:rPr>
                    <w:t>Директор</w:t>
                  </w:r>
                </w:p>
                <w:p>
                  <w:pPr>
                    <w:pStyle w:val="Normal"/>
                    <w:widowControl w:val="false"/>
                    <w:spacing w:lineRule="auto" w:line="240" w:before="0" w:after="0"/>
                    <w:rPr>
                      <w:rFonts w:ascii="Times New Roman" w:hAnsi="Times New Roman"/>
                      <w:sz w:val="24"/>
                      <w:szCs w:val="24"/>
                      <w:lang w:val="uk-UA"/>
                    </w:rPr>
                  </w:pPr>
                  <w:r>
                    <w:rPr>
                      <w:rFonts w:ascii="Times New Roman" w:hAnsi="Times New Roman"/>
                      <w:b/>
                      <w:sz w:val="24"/>
                      <w:szCs w:val="24"/>
                      <w:lang w:val="uk-UA"/>
                    </w:rPr>
                    <w:t>_____________________Г. ЖЕЛІЗНИК</w:t>
                  </w:r>
                </w:p>
              </w:tc>
            </w:tr>
          </w:tbl>
          <w:p>
            <w:pPr>
              <w:pStyle w:val="Normal"/>
              <w:widowControl w:val="false"/>
              <w:spacing w:before="0" w:after="0"/>
              <w:jc w:val="both"/>
              <w:rPr>
                <w:rFonts w:ascii="Times New Roman" w:hAnsi="Times New Roman"/>
                <w:iCs/>
                <w:sz w:val="24"/>
                <w:szCs w:val="24"/>
                <w:lang w:val="uk-UA" w:eastAsia="uk-UA"/>
              </w:rPr>
            </w:pPr>
            <w:r>
              <w:rPr>
                <w:rFonts w:ascii="Times New Roman" w:hAnsi="Times New Roman"/>
                <w:iCs/>
                <w:sz w:val="24"/>
                <w:szCs w:val="24"/>
                <w:lang w:val="uk-UA" w:eastAsia="uk-UA"/>
              </w:rPr>
              <w:t>м.п.</w:t>
            </w:r>
          </w:p>
        </w:tc>
        <w:tc>
          <w:tcPr>
            <w:tcW w:w="4677" w:type="dxa"/>
            <w:tcBorders/>
          </w:tcPr>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t>м.п.</w:t>
            </w:r>
          </w:p>
          <w:p>
            <w:pPr>
              <w:pStyle w:val="Normal"/>
              <w:widowControl w:val="false"/>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0"/>
              <w:rPr>
                <w:rFonts w:ascii="Times New Roman" w:hAnsi="Times New Roman"/>
                <w:sz w:val="24"/>
                <w:szCs w:val="24"/>
                <w:lang w:val="uk-UA"/>
              </w:rPr>
            </w:pPr>
            <w:r>
              <w:rPr>
                <w:rFonts w:ascii="Times New Roman" w:hAnsi="Times New Roman"/>
                <w:sz w:val="24"/>
                <w:szCs w:val="24"/>
                <w:lang w:val="uk-UA"/>
              </w:rPr>
            </w:r>
          </w:p>
        </w:tc>
      </w:tr>
    </w:tbl>
    <w:p>
      <w:pPr>
        <w:pStyle w:val="ListParagraph"/>
        <w:widowControl w:val="false"/>
        <w:tabs>
          <w:tab w:val="clear" w:pos="709"/>
          <w:tab w:val="left" w:pos="5467" w:leader="none"/>
        </w:tabs>
        <w:spacing w:before="0" w:after="0"/>
        <w:ind w:left="142" w:right="0" w:hanging="0"/>
        <w:contextualSpacing/>
        <w:jc w:val="center"/>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48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ListParagraph"/>
        <w:widowControl w:val="false"/>
        <w:tabs>
          <w:tab w:val="clear" w:pos="709"/>
          <w:tab w:val="left" w:pos="5467" w:leader="none"/>
        </w:tabs>
        <w:spacing w:before="0" w:after="0"/>
        <w:ind w:left="720" w:right="0" w:hanging="0"/>
        <w:contextualSpacing/>
        <w:rPr>
          <w:rFonts w:ascii="Times New Roman" w:hAnsi="Times New Roman"/>
          <w:b/>
          <w:b/>
          <w:color w:val="121212"/>
          <w:spacing w:val="-1"/>
          <w:sz w:val="24"/>
          <w:szCs w:val="24"/>
          <w:shd w:fill="FFFFFF" w:val="clear"/>
        </w:rPr>
      </w:pPr>
      <w:r>
        <w:rPr>
          <w:rFonts w:ascii="Times New Roman" w:hAnsi="Times New Roman"/>
          <w:b/>
          <w:color w:val="121212"/>
          <w:spacing w:val="-1"/>
          <w:sz w:val="24"/>
          <w:szCs w:val="24"/>
          <w:shd w:fill="FFFFFF" w:val="clear"/>
        </w:rPr>
      </w:r>
    </w:p>
    <w:p>
      <w:pPr>
        <w:pStyle w:val="Normal"/>
        <w:ind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1623" w:type="dxa"/>
        <w:jc w:val="left"/>
        <w:tblInd w:w="-459" w:type="dxa"/>
        <w:tblLayout w:type="fixed"/>
        <w:tblCellMar>
          <w:top w:w="0" w:type="dxa"/>
          <w:left w:w="108" w:type="dxa"/>
          <w:bottom w:w="0" w:type="dxa"/>
          <w:right w:w="108" w:type="dxa"/>
        </w:tblCellMar>
        <w:tblLook w:val="00a0"/>
      </w:tblPr>
      <w:tblGrid>
        <w:gridCol w:w="567"/>
        <w:gridCol w:w="565"/>
        <w:gridCol w:w="1562"/>
        <w:gridCol w:w="1417"/>
        <w:gridCol w:w="1134"/>
        <w:gridCol w:w="307"/>
        <w:gridCol w:w="968"/>
        <w:gridCol w:w="1134"/>
        <w:gridCol w:w="337"/>
        <w:gridCol w:w="941"/>
        <w:gridCol w:w="139"/>
        <w:gridCol w:w="20"/>
        <w:gridCol w:w="1116"/>
        <w:gridCol w:w="140"/>
        <w:gridCol w:w="82"/>
        <w:gridCol w:w="237"/>
        <w:gridCol w:w="107"/>
        <w:gridCol w:w="380"/>
        <w:gridCol w:w="237"/>
        <w:gridCol w:w="232"/>
      </w:tblGrid>
      <w:tr>
        <w:trPr>
          <w:trHeight w:val="360" w:hRule="atLeast"/>
        </w:trPr>
        <w:tc>
          <w:tcPr>
            <w:tcW w:w="9071" w:type="dxa"/>
            <w:gridSpan w:val="11"/>
            <w:tcBorders/>
            <w:vAlign w:val="center"/>
          </w:tcPr>
          <w:p>
            <w:pPr>
              <w:pStyle w:val="Normal"/>
              <w:widowControl w:val="false"/>
              <w:spacing w:before="0" w:after="200"/>
              <w:jc w:val="right"/>
              <w:rPr>
                <w:rFonts w:ascii="Times New Roman" w:hAnsi="Times New Roman"/>
                <w:sz w:val="24"/>
                <w:szCs w:val="24"/>
              </w:rPr>
            </w:pPr>
            <w:r>
              <w:rPr>
                <w:rFonts w:ascii="Times New Roman" w:hAnsi="Times New Roman"/>
                <w:sz w:val="24"/>
                <w:szCs w:val="24"/>
              </w:rPr>
              <w:t>Додаток №1</w:t>
            </w:r>
          </w:p>
        </w:tc>
        <w:tc>
          <w:tcPr>
            <w:tcW w:w="1276" w:type="dxa"/>
            <w:gridSpan w:val="3"/>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426" w:type="dxa"/>
            <w:gridSpan w:val="3"/>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360" w:hRule="atLeast"/>
        </w:trPr>
        <w:tc>
          <w:tcPr>
            <w:tcW w:w="1132" w:type="dxa"/>
            <w:gridSpan w:val="2"/>
            <w:tcBorders/>
            <w:vAlign w:val="center"/>
          </w:tcPr>
          <w:p>
            <w:pPr>
              <w:pStyle w:val="Normal"/>
              <w:widowControl w:val="false"/>
              <w:spacing w:before="0" w:after="200"/>
              <w:jc w:val="center"/>
              <w:rPr>
                <w:sz w:val="24"/>
                <w:szCs w:val="24"/>
              </w:rPr>
            </w:pPr>
            <w:r>
              <w:rPr>
                <w:sz w:val="24"/>
                <w:szCs w:val="24"/>
              </w:rPr>
            </w:r>
          </w:p>
        </w:tc>
        <w:tc>
          <w:tcPr>
            <w:tcW w:w="4420" w:type="dxa"/>
            <w:gridSpan w:val="4"/>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439" w:type="dxa"/>
            <w:gridSpan w:val="3"/>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100" w:type="dxa"/>
            <w:gridSpan w:val="3"/>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338" w:type="dxa"/>
            <w:gridSpan w:val="3"/>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37" w:type="dxa"/>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487" w:type="dxa"/>
            <w:gridSpan w:val="2"/>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37" w:type="dxa"/>
            <w:tcBorders/>
          </w:tcPr>
          <w:p>
            <w:pPr>
              <w:pStyle w:val="Normal"/>
              <w:widowControl w:val="false"/>
              <w:spacing w:before="0" w:after="200"/>
              <w:jc w:val="center"/>
              <w:rPr>
                <w:sz w:val="24"/>
                <w:szCs w:val="24"/>
              </w:rPr>
            </w:pPr>
            <w:r>
              <w:rPr>
                <w:sz w:val="24"/>
                <w:szCs w:val="24"/>
              </w:rPr>
            </w:r>
          </w:p>
        </w:tc>
        <w:tc>
          <w:tcPr>
            <w:tcW w:w="232" w:type="dxa"/>
            <w:tcBorders/>
          </w:tcPr>
          <w:p>
            <w:pPr>
              <w:pStyle w:val="Normal"/>
              <w:widowControl w:val="false"/>
              <w:spacing w:before="0" w:after="200"/>
              <w:jc w:val="center"/>
              <w:rPr>
                <w:sz w:val="24"/>
                <w:szCs w:val="24"/>
              </w:rPr>
            </w:pPr>
            <w:r>
              <w:rPr>
                <w:sz w:val="24"/>
                <w:szCs w:val="24"/>
              </w:rPr>
            </w:r>
          </w:p>
        </w:tc>
      </w:tr>
      <w:tr>
        <w:trPr>
          <w:trHeight w:val="435" w:hRule="atLeast"/>
        </w:trPr>
        <w:tc>
          <w:tcPr>
            <w:tcW w:w="9071" w:type="dxa"/>
            <w:gridSpan w:val="11"/>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до Договору від ________________ р. № _______</w:t>
            </w:r>
          </w:p>
        </w:tc>
        <w:tc>
          <w:tcPr>
            <w:tcW w:w="1276" w:type="dxa"/>
            <w:gridSpan w:val="3"/>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426" w:type="dxa"/>
            <w:gridSpan w:val="3"/>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405" w:hRule="atLeast"/>
        </w:trPr>
        <w:tc>
          <w:tcPr>
            <w:tcW w:w="5552" w:type="dxa"/>
            <w:gridSpan w:val="6"/>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t>м. Кам’янець - Подільський</w:t>
            </w:r>
          </w:p>
        </w:tc>
        <w:tc>
          <w:tcPr>
            <w:tcW w:w="5221" w:type="dxa"/>
            <w:gridSpan w:val="11"/>
            <w:tcBorders/>
            <w:vAlign w:val="bottom"/>
          </w:tcPr>
          <w:p>
            <w:pPr>
              <w:pStyle w:val="Normal"/>
              <w:widowControl w:val="false"/>
              <w:spacing w:before="0" w:after="200"/>
              <w:jc w:val="right"/>
              <w:rPr>
                <w:rFonts w:ascii="Times New Roman" w:hAnsi="Times New Roman"/>
                <w:sz w:val="24"/>
                <w:szCs w:val="24"/>
              </w:rPr>
            </w:pPr>
            <w:r>
              <w:rPr>
                <w:rFonts w:ascii="Times New Roman" w:hAnsi="Times New Roman"/>
                <w:sz w:val="24"/>
                <w:szCs w:val="24"/>
              </w:rPr>
              <w:t>"_____" ____________ р.</w:t>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360" w:hRule="atLeast"/>
        </w:trPr>
        <w:tc>
          <w:tcPr>
            <w:tcW w:w="8932" w:type="dxa"/>
            <w:gridSpan w:val="10"/>
            <w:tcBorders>
              <w:bottom w:val="single" w:sz="4" w:space="0" w:color="000000"/>
            </w:tcBorders>
            <w:vAlign w:val="center"/>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t>СПЕЦИФІКАЦІЯ</w:t>
            </w:r>
          </w:p>
        </w:tc>
        <w:tc>
          <w:tcPr>
            <w:tcW w:w="1275" w:type="dxa"/>
            <w:gridSpan w:val="3"/>
            <w:tcBorders>
              <w:bottom w:val="single" w:sz="4" w:space="0" w:color="000000"/>
            </w:tcBorders>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r>
          </w:p>
        </w:tc>
        <w:tc>
          <w:tcPr>
            <w:tcW w:w="566" w:type="dxa"/>
            <w:gridSpan w:val="4"/>
            <w:tcBorders>
              <w:bottom w:val="single" w:sz="4" w:space="0" w:color="000000"/>
            </w:tcBorders>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112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sz w:val="24"/>
                <w:szCs w:val="24"/>
              </w:rPr>
            </w:pPr>
            <w:r>
              <w:rPr>
                <w:sz w:val="24"/>
                <w:szCs w:val="24"/>
              </w:rPr>
              <w:t xml:space="preserve">№ </w:t>
            </w:r>
            <w:r>
              <w:rPr>
                <w:sz w:val="24"/>
                <w:szCs w:val="24"/>
              </w:rPr>
              <w:t>з/п</w:t>
            </w:r>
          </w:p>
        </w:tc>
        <w:tc>
          <w:tcPr>
            <w:tcW w:w="2127"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Найменування товару</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ДК 021:2015</w:t>
            </w:r>
          </w:p>
        </w:tc>
        <w:tc>
          <w:tcPr>
            <w:tcW w:w="1134" w:type="dxa"/>
            <w:tcBorders>
              <w:top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Один.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Кількість</w:t>
            </w:r>
          </w:p>
        </w:tc>
        <w:tc>
          <w:tcPr>
            <w:tcW w:w="1134"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Ціна, без ПДВ грн.</w:t>
            </w:r>
          </w:p>
        </w:tc>
        <w:tc>
          <w:tcPr>
            <w:tcW w:w="1278"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t>Ціна, з ПДВ грн.</w:t>
            </w:r>
          </w:p>
        </w:tc>
        <w:tc>
          <w:tcPr>
            <w:tcW w:w="1275" w:type="dxa"/>
            <w:gridSpan w:val="3"/>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Вартість,  без ПДВ, грн.</w:t>
            </w:r>
          </w:p>
        </w:tc>
        <w:tc>
          <w:tcPr>
            <w:tcW w:w="566" w:type="dxa"/>
            <w:gridSpan w:val="4"/>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Вартість,  з ПДВ, грн.</w:t>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sz w:val="24"/>
                <w:szCs w:val="24"/>
              </w:rPr>
            </w:pPr>
            <w:r>
              <w:rPr>
                <w:sz w:val="24"/>
                <w:szCs w:val="24"/>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375" w:hRule="atLeast"/>
        </w:trPr>
        <w:tc>
          <w:tcPr>
            <w:tcW w:w="567"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2127"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1417" w:type="dxa"/>
            <w:tcBorders>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134" w:type="dxa"/>
            <w:tcBorders>
              <w:left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gridSpan w:val="2"/>
            <w:tcBorders>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134" w:type="dxa"/>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8" w:type="dxa"/>
            <w:gridSpan w:val="2"/>
            <w:tcBorders>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r>
        <w:trPr>
          <w:trHeight w:val="375" w:hRule="atLeast"/>
        </w:trPr>
        <w:tc>
          <w:tcPr>
            <w:tcW w:w="567" w:type="dxa"/>
            <w:tcBorders>
              <w:left w:val="single" w:sz="4" w:space="0" w:color="000000"/>
              <w:bottom w:val="single" w:sz="4" w:space="0" w:color="000000"/>
              <w:right w:val="single" w:sz="4" w:space="0" w:color="000000"/>
            </w:tcBorders>
            <w:vAlign w:val="bottom"/>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2127"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t>Разом</w:t>
            </w:r>
          </w:p>
        </w:tc>
        <w:tc>
          <w:tcPr>
            <w:tcW w:w="1417"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1134" w:type="dxa"/>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sz w:val="24"/>
                <w:szCs w:val="24"/>
              </w:rPr>
            </w:pPr>
            <w:r>
              <w:rPr>
                <w:rFonts w:ascii="Times New Roman" w:hAnsi="Times New Roman"/>
                <w:sz w:val="24"/>
                <w:szCs w:val="24"/>
              </w:rPr>
            </w:r>
          </w:p>
        </w:tc>
        <w:tc>
          <w:tcPr>
            <w:tcW w:w="1275" w:type="dxa"/>
            <w:gridSpan w:val="2"/>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1134" w:type="dxa"/>
            <w:tcBorders>
              <w:bottom w:val="single" w:sz="4" w:space="0" w:color="000000"/>
              <w:right w:val="single" w:sz="4" w:space="0" w:color="000000"/>
            </w:tcBorders>
            <w:vAlign w:val="bottom"/>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tc>
        <w:tc>
          <w:tcPr>
            <w:tcW w:w="1278" w:type="dxa"/>
            <w:gridSpan w:val="2"/>
            <w:tcBorders>
              <w:bottom w:val="single" w:sz="4" w:space="0" w:color="000000"/>
              <w:right w:val="single" w:sz="4" w:space="0" w:color="000000"/>
            </w:tcBorders>
            <w:vAlign w:val="bottom"/>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r>
          </w:p>
        </w:tc>
        <w:tc>
          <w:tcPr>
            <w:tcW w:w="1275" w:type="dxa"/>
            <w:gridSpan w:val="3"/>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r>
          </w:p>
        </w:tc>
        <w:tc>
          <w:tcPr>
            <w:tcW w:w="566" w:type="dxa"/>
            <w:gridSpan w:val="4"/>
            <w:tcBorders>
              <w:bottom w:val="single" w:sz="4" w:space="0" w:color="000000"/>
              <w:right w:val="single" w:sz="4" w:space="0" w:color="000000"/>
            </w:tcBorders>
          </w:tcPr>
          <w:p>
            <w:pPr>
              <w:pStyle w:val="Normal"/>
              <w:widowControl w:val="false"/>
              <w:spacing w:before="0" w:after="200"/>
              <w:jc w:val="center"/>
              <w:rPr>
                <w:rFonts w:ascii="Times New Roman" w:hAnsi="Times New Roman"/>
                <w:b/>
                <w:b/>
                <w:bCs/>
                <w:sz w:val="24"/>
                <w:szCs w:val="24"/>
              </w:rPr>
            </w:pPr>
            <w:r>
              <w:rPr>
                <w:rFonts w:ascii="Times New Roman" w:hAnsi="Times New Roman"/>
                <w:b/>
                <w:bCs/>
                <w:sz w:val="24"/>
                <w:szCs w:val="24"/>
              </w:rPr>
            </w:r>
          </w:p>
        </w:tc>
        <w:tc>
          <w:tcPr>
            <w:tcW w:w="380" w:type="dxa"/>
            <w:tcBorders/>
          </w:tcPr>
          <w:p>
            <w:pPr>
              <w:pStyle w:val="Normal"/>
              <w:widowControl w:val="false"/>
              <w:spacing w:before="0" w:after="200"/>
              <w:rPr>
                <w:sz w:val="24"/>
                <w:szCs w:val="24"/>
              </w:rPr>
            </w:pPr>
            <w:r>
              <w:rPr>
                <w:sz w:val="24"/>
                <w:szCs w:val="24"/>
              </w:rPr>
            </w:r>
          </w:p>
        </w:tc>
        <w:tc>
          <w:tcPr>
            <w:tcW w:w="237" w:type="dxa"/>
            <w:tcBorders/>
          </w:tcPr>
          <w:p>
            <w:pPr>
              <w:pStyle w:val="Normal"/>
              <w:widowControl w:val="false"/>
              <w:spacing w:before="0" w:after="200"/>
              <w:rPr>
                <w:sz w:val="24"/>
                <w:szCs w:val="24"/>
              </w:rPr>
            </w:pPr>
            <w:r>
              <w:rPr>
                <w:sz w:val="24"/>
                <w:szCs w:val="24"/>
              </w:rPr>
            </w:r>
          </w:p>
        </w:tc>
        <w:tc>
          <w:tcPr>
            <w:tcW w:w="232" w:type="dxa"/>
            <w:tcBorders/>
          </w:tcPr>
          <w:p>
            <w:pPr>
              <w:pStyle w:val="Normal"/>
              <w:widowControl w:val="false"/>
              <w:spacing w:before="0" w:after="200"/>
              <w:rPr>
                <w:sz w:val="24"/>
                <w:szCs w:val="24"/>
              </w:rPr>
            </w:pPr>
            <w:r>
              <w:rPr>
                <w:sz w:val="24"/>
                <w:szCs w:val="24"/>
              </w:rPr>
            </w:r>
          </w:p>
        </w:tc>
      </w:tr>
    </w:tbl>
    <w:p>
      <w:pPr>
        <w:pStyle w:val="Normal"/>
        <w:ind w:left="284" w:right="-284" w:hanging="0"/>
        <w:jc w:val="both"/>
        <w:rPr>
          <w:rFonts w:ascii="Times New Roman" w:hAnsi="Times New Roman"/>
          <w:sz w:val="24"/>
          <w:szCs w:val="24"/>
          <w:lang w:eastAsia="en-US"/>
        </w:rPr>
      </w:pPr>
      <w:r>
        <w:rPr>
          <w:rFonts w:ascii="Times New Roman" w:hAnsi="Times New Roman"/>
          <w:sz w:val="24"/>
          <w:szCs w:val="24"/>
          <w:lang w:eastAsia="en-US"/>
        </w:rPr>
      </w:r>
    </w:p>
    <w:tbl>
      <w:tblPr>
        <w:tblW w:w="10206" w:type="dxa"/>
        <w:jc w:val="left"/>
        <w:tblInd w:w="391" w:type="dxa"/>
        <w:tblLayout w:type="fixed"/>
        <w:tblCellMar>
          <w:top w:w="0" w:type="dxa"/>
          <w:left w:w="108" w:type="dxa"/>
          <w:bottom w:w="0" w:type="dxa"/>
          <w:right w:w="108" w:type="dxa"/>
        </w:tblCellMar>
        <w:tblLook w:val="00a0"/>
      </w:tblPr>
      <w:tblGrid>
        <w:gridCol w:w="5244"/>
        <w:gridCol w:w="4961"/>
      </w:tblGrid>
      <w:tr>
        <w:trPr/>
        <w:tc>
          <w:tcPr>
            <w:tcW w:w="5244" w:type="dxa"/>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Покупець</w:t>
            </w:r>
          </w:p>
        </w:tc>
        <w:tc>
          <w:tcPr>
            <w:tcW w:w="4961" w:type="dxa"/>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Постачальник</w:t>
            </w:r>
          </w:p>
        </w:tc>
      </w:tr>
      <w:tr>
        <w:trPr/>
        <w:tc>
          <w:tcPr>
            <w:tcW w:w="5244" w:type="dxa"/>
            <w:tcBorders/>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Довжоцький  будинок-інтернат для громадян похилого віку та осіб з інвалідністю</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rPr>
                <w:rFonts w:ascii="Times New Roman" w:hAnsi="Times New Roman" w:cs="Times New Roman"/>
                <w:sz w:val="24"/>
                <w:szCs w:val="24"/>
              </w:rPr>
            </w:pPr>
            <w:r>
              <w:rPr>
                <w:rFonts w:cs="Times New Roman" w:ascii="Times New Roman" w:hAnsi="Times New Roman"/>
                <w:b/>
                <w:sz w:val="24"/>
                <w:szCs w:val="24"/>
              </w:rPr>
              <w:t>Адреса</w:t>
            </w:r>
            <w:r>
              <w:rPr>
                <w:rFonts w:cs="Times New Roman" w:ascii="Times New Roman" w:hAnsi="Times New Roman"/>
                <w:sz w:val="24"/>
                <w:szCs w:val="24"/>
              </w:rPr>
              <w:t xml:space="preserve">: 32300, Україна, Хмельницька область, Кам’янець — Подільський р-н,  </w:t>
            </w:r>
            <w:r>
              <w:rPr>
                <w:rFonts w:cs="Times New Roman" w:ascii="Times New Roman" w:hAnsi="Times New Roman"/>
                <w:sz w:val="24"/>
                <w:szCs w:val="24"/>
                <w:lang w:val="ru-RU"/>
              </w:rPr>
              <w:t xml:space="preserve"> </w:t>
            </w:r>
            <w:r>
              <w:rPr>
                <w:rFonts w:cs="Times New Roman" w:ascii="Times New Roman" w:hAnsi="Times New Roman"/>
                <w:sz w:val="24"/>
                <w:szCs w:val="24"/>
              </w:rPr>
              <w:t>м. Кам’янець-Подільський, вул. Олександра Удовиченка, 78</w:t>
            </w:r>
          </w:p>
          <w:p>
            <w:pPr>
              <w:pStyle w:val="HTMLPreformatted"/>
              <w:widowControl w:val="false"/>
              <w:rPr>
                <w:rFonts w:ascii="Times New Roman" w:hAnsi="Times New Roman" w:cs="Times New Roman"/>
                <w:sz w:val="24"/>
                <w:szCs w:val="24"/>
              </w:rPr>
            </w:pPr>
            <w:r>
              <w:rPr>
                <w:rFonts w:cs="Times New Roman" w:ascii="Times New Roman" w:hAnsi="Times New Roman"/>
                <w:sz w:val="24"/>
                <w:szCs w:val="24"/>
              </w:rPr>
              <w:t>р/р UA</w:t>
            </w:r>
            <w:r>
              <w:rPr>
                <w:rFonts w:cs="Times New Roman" w:ascii="Times New Roman" w:hAnsi="Times New Roman"/>
                <w:sz w:val="24"/>
                <w:szCs w:val="24"/>
                <w:lang w:val="ru-RU"/>
              </w:rPr>
              <w:t>3</w:t>
            </w:r>
            <w:r>
              <w:rPr>
                <w:rFonts w:cs="Times New Roman" w:ascii="Times New Roman" w:hAnsi="Times New Roman"/>
                <w:sz w:val="24"/>
                <w:szCs w:val="24"/>
                <w:lang w:val="en-US"/>
              </w:rPr>
              <w:t>88201720344210003000032019</w:t>
            </w:r>
          </w:p>
          <w:p>
            <w:pPr>
              <w:pStyle w:val="HTMLPreformatted"/>
              <w:widowControl w:val="false"/>
              <w:rPr>
                <w:rFonts w:ascii="Times New Roman" w:hAnsi="Times New Roman" w:cs="Times New Roman"/>
                <w:sz w:val="24"/>
                <w:szCs w:val="24"/>
              </w:rPr>
            </w:pPr>
            <w:r>
              <w:rPr>
                <w:rFonts w:eastAsia="Times New Roman" w:cs="Times New Roman" w:ascii="Times New Roman" w:hAnsi="Times New Roman"/>
                <w:sz w:val="24"/>
                <w:szCs w:val="24"/>
                <w:lang w:val="en-US"/>
              </w:rPr>
              <w:t>р</w:t>
            </w:r>
            <w:r>
              <w:rPr>
                <w:rFonts w:eastAsia="Times New Roman" w:cs="Times New Roman" w:ascii="Times New Roman" w:hAnsi="Times New Roman"/>
                <w:sz w:val="24"/>
                <w:szCs w:val="24"/>
              </w:rPr>
              <w:t xml:space="preserve">/р </w:t>
            </w:r>
            <w:r>
              <w:rPr>
                <w:rFonts w:eastAsia="Times New Roman" w:cs="Times New Roman" w:ascii="Times New Roman" w:hAnsi="Times New Roman"/>
                <w:sz w:val="24"/>
                <w:szCs w:val="24"/>
                <w:lang w:val="en-US"/>
              </w:rPr>
              <w:t>UA</w:t>
            </w:r>
            <w:r>
              <w:rPr>
                <w:rFonts w:eastAsia="Times New Roman" w:cs="Times New Roman" w:ascii="Times New Roman" w:hAnsi="Times New Roman"/>
                <w:sz w:val="24"/>
                <w:szCs w:val="24"/>
                <w:lang w:val="ru-RU"/>
              </w:rPr>
              <w:t>8</w:t>
            </w:r>
            <w:r>
              <w:rPr>
                <w:rFonts w:eastAsia="Times New Roman" w:cs="Times New Roman" w:ascii="Times New Roman" w:hAnsi="Times New Roman"/>
                <w:sz w:val="24"/>
                <w:szCs w:val="24"/>
                <w:lang w:val="en-US"/>
              </w:rPr>
              <w:t>18201720344211003300032019</w:t>
            </w:r>
            <w:bookmarkStart w:id="0" w:name="_GoBack111"/>
            <w:bookmarkEnd w:id="0"/>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Держказначейська служба України, м. Київ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МФО 820172</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Код ЄДРПОУ 22770738</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b/>
                <w:sz w:val="24"/>
                <w:szCs w:val="24"/>
              </w:rPr>
              <w:t>Тел./факс:</w:t>
            </w:r>
            <w:r>
              <w:rPr>
                <w:rFonts w:cs="Times New Roman" w:ascii="Times New Roman" w:hAnsi="Times New Roman"/>
                <w:sz w:val="24"/>
                <w:szCs w:val="24"/>
              </w:rPr>
              <w:t xml:space="preserve"> (03849) 9-43-30</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Ел. адреса </w:t>
            </w:r>
            <w:r>
              <w:rPr>
                <w:rFonts w:cs="Times New Roman" w:ascii="Times New Roman" w:hAnsi="Times New Roman"/>
                <w:sz w:val="24"/>
                <w:szCs w:val="24"/>
              </w:rPr>
              <w:t xml:space="preserve"> </w:t>
            </w:r>
            <w:r>
              <w:rPr>
                <w:rFonts w:cs="Times New Roman" w:ascii="Times New Roman" w:hAnsi="Times New Roman"/>
                <w:sz w:val="24"/>
                <w:szCs w:val="24"/>
                <w:shd w:fill="FDFEFD" w:val="clear"/>
              </w:rPr>
              <w:t xml:space="preserve"> dovjok-bi@ukr.net</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Директор:_________Г.Д</w:t>
            </w:r>
            <w:r>
              <w:rPr>
                <w:rFonts w:cs="Times New Roman" w:ascii="Times New Roman" w:hAnsi="Times New Roman"/>
                <w:b/>
                <w:sz w:val="24"/>
                <w:szCs w:val="24"/>
                <w:lang w:val="uk-UA"/>
              </w:rPr>
              <w:t>.</w:t>
            </w:r>
            <w:r>
              <w:rPr>
                <w:rFonts w:cs="Times New Roman" w:ascii="Times New Roman" w:hAnsi="Times New Roman"/>
                <w:b/>
                <w:sz w:val="24"/>
                <w:szCs w:val="24"/>
              </w:rPr>
              <w:t>ЖЕЛІЗНИК</w:t>
            </w:r>
            <w:r>
              <w:rPr>
                <w:rFonts w:ascii="Times New Roman" w:hAnsi="Times New Roman"/>
                <w:sz w:val="24"/>
                <w:szCs w:val="24"/>
              </w:rPr>
              <w:t xml:space="preserve">                                        М.П.</w:t>
            </w:r>
          </w:p>
          <w:p>
            <w:pPr>
              <w:pStyle w:val="Normal"/>
              <w:widowControl w:val="false"/>
              <w:spacing w:lineRule="auto" w:line="240" w:before="0" w:after="0"/>
              <w:jc w:val="both"/>
              <w:rPr>
                <w:rFonts w:ascii="Cambria" w:hAnsi="Cambria" w:asciiTheme="majorHAnsi" w:hAnsiTheme="majorHAnsi"/>
                <w:sz w:val="24"/>
                <w:szCs w:val="24"/>
                <w:lang w:val="uk-UA"/>
              </w:rPr>
            </w:pPr>
            <w:r>
              <w:rPr>
                <w:rFonts w:asciiTheme="majorHAnsi" w:hAnsiTheme="majorHAnsi" w:ascii="Cambria" w:hAnsi="Cambria"/>
                <w:sz w:val="24"/>
                <w:szCs w:val="24"/>
                <w:lang w:val="uk-UA"/>
              </w:rPr>
            </w:r>
          </w:p>
        </w:tc>
        <w:tc>
          <w:tcPr>
            <w:tcW w:w="4961" w:type="dxa"/>
            <w:tcBorders/>
          </w:tcPr>
          <w:p>
            <w:pPr>
              <w:pStyle w:val="Style21"/>
              <w:widowControl w:val="false"/>
              <w:spacing w:lineRule="auto" w:line="276" w:before="0" w:after="0"/>
              <w:ind w:left="0" w:hanging="0"/>
              <w:jc w:val="both"/>
              <w:rPr>
                <w:color w:val="FF0000"/>
                <w:sz w:val="24"/>
                <w:szCs w:val="24"/>
              </w:rPr>
            </w:pPr>
            <w:r>
              <w:rPr>
                <w:color w:val="FF0000"/>
                <w:sz w:val="24"/>
                <w:szCs w:val="24"/>
              </w:rPr>
            </w:r>
          </w:p>
        </w:tc>
      </w:tr>
    </w:tbl>
    <w:p>
      <w:pPr>
        <w:pStyle w:val="Normal"/>
        <w:ind w:left="284" w:right="-284" w:hanging="0"/>
        <w:jc w:val="both"/>
        <w:rPr>
          <w:sz w:val="24"/>
          <w:szCs w:val="24"/>
          <w:lang w:eastAsia="en-US"/>
        </w:rPr>
      </w:pPr>
      <w:r>
        <w:rPr>
          <w:sz w:val="24"/>
          <w:szCs w:val="24"/>
          <w:lang w:eastAsia="en-US"/>
        </w:rPr>
      </w:r>
    </w:p>
    <w:p>
      <w:pPr>
        <w:pStyle w:val="Normal"/>
        <w:ind w:left="284" w:right="-284" w:hanging="0"/>
        <w:jc w:val="both"/>
        <w:rPr>
          <w:sz w:val="24"/>
          <w:szCs w:val="24"/>
          <w:lang w:eastAsia="en-US"/>
        </w:rPr>
      </w:pPr>
      <w:r>
        <w:rPr>
          <w:sz w:val="24"/>
          <w:szCs w:val="24"/>
          <w:lang w:eastAsia="en-US"/>
        </w:rPr>
      </w:r>
    </w:p>
    <w:p>
      <w:pPr>
        <w:pStyle w:val="Normal"/>
        <w:ind w:left="284" w:right="-284" w:hanging="0"/>
        <w:jc w:val="both"/>
        <w:rPr>
          <w:sz w:val="24"/>
          <w:szCs w:val="24"/>
          <w:lang w:eastAsia="en-US"/>
        </w:rPr>
      </w:pPr>
      <w:r>
        <w:rPr>
          <w:sz w:val="24"/>
          <w:szCs w:val="24"/>
          <w:lang w:eastAsia="en-US"/>
        </w:rPr>
      </w:r>
    </w:p>
    <w:p>
      <w:pPr>
        <w:pStyle w:val="Normal"/>
        <w:ind w:left="284" w:right="-284" w:hanging="0"/>
        <w:jc w:val="both"/>
        <w:rPr>
          <w:sz w:val="24"/>
          <w:szCs w:val="24"/>
          <w:lang w:eastAsia="en-US"/>
        </w:rPr>
      </w:pPr>
      <w:r>
        <w:rPr>
          <w:sz w:val="24"/>
          <w:szCs w:val="24"/>
          <w:lang w:eastAsia="en-US"/>
        </w:rPr>
      </w:r>
    </w:p>
    <w:p>
      <w:pPr>
        <w:pStyle w:val="Normal"/>
        <w:ind w:left="284" w:right="-284" w:hanging="0"/>
        <w:jc w:val="both"/>
        <w:rPr>
          <w:sz w:val="24"/>
          <w:szCs w:val="24"/>
          <w:lang w:eastAsia="en-US"/>
        </w:rPr>
      </w:pPr>
      <w:r>
        <w:rPr>
          <w:sz w:val="24"/>
          <w:szCs w:val="24"/>
          <w:lang w:eastAsia="en-US"/>
        </w:rPr>
      </w:r>
    </w:p>
    <w:p>
      <w:pPr>
        <w:pStyle w:val="Normal"/>
        <w:ind w:left="284" w:right="-284" w:hanging="0"/>
        <w:jc w:val="both"/>
        <w:rPr>
          <w:sz w:val="24"/>
          <w:szCs w:val="24"/>
          <w:lang w:eastAsia="en-US"/>
        </w:rPr>
      </w:pPr>
      <w:r>
        <w:rPr>
          <w:sz w:val="24"/>
          <w:szCs w:val="24"/>
          <w:lang w:eastAsia="en-US"/>
        </w:rPr>
      </w:r>
    </w:p>
    <w:p>
      <w:pPr>
        <w:pStyle w:val="Normal"/>
        <w:ind w:left="7920" w:hanging="0"/>
        <w:jc w:val="right"/>
        <w:rPr>
          <w:rFonts w:ascii="Times New Roman" w:hAnsi="Times New Roman"/>
        </w:rPr>
      </w:pPr>
      <w:r>
        <w:rPr>
          <w:rFonts w:ascii="Times New Roman" w:hAnsi="Times New Roman"/>
        </w:rPr>
      </w:r>
    </w:p>
    <w:p>
      <w:pPr>
        <w:pStyle w:val="Normal"/>
        <w:tabs>
          <w:tab w:val="clear" w:pos="709"/>
          <w:tab w:val="left" w:pos="567" w:leader="none"/>
        </w:tabs>
        <w:ind w:firstLine="567"/>
        <w:jc w:val="both"/>
        <w:rPr>
          <w:sz w:val="22"/>
          <w:szCs w:val="22"/>
          <w:lang w:val="uk-UA"/>
        </w:rPr>
      </w:pPr>
      <w:r>
        <w:rPr>
          <w:sz w:val="22"/>
          <w:szCs w:val="22"/>
          <w:lang w:val="uk-UA"/>
        </w:rPr>
      </w:r>
    </w:p>
    <w:p>
      <w:pPr>
        <w:pStyle w:val="Normal"/>
        <w:tabs>
          <w:tab w:val="clear" w:pos="709"/>
          <w:tab w:val="left" w:pos="567" w:leader="none"/>
        </w:tabs>
        <w:spacing w:before="0" w:after="200"/>
        <w:ind w:firstLine="567"/>
        <w:jc w:val="both"/>
        <w:rPr>
          <w:sz w:val="22"/>
          <w:szCs w:val="22"/>
          <w:lang w:val="uk-UA"/>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5" w:hanging="360"/>
      </w:pPr>
      <w:rPr>
        <w:rFonts w:cs="Times New Roman"/>
      </w:rPr>
    </w:lvl>
    <w:lvl w:ilvl="2">
      <w:start w:val="1"/>
      <w:numFmt w:val="decimal"/>
      <w:lvlText w:val="%1.%2.%3."/>
      <w:lvlJc w:val="left"/>
      <w:pPr>
        <w:tabs>
          <w:tab w:val="num" w:pos="0"/>
        </w:tabs>
        <w:ind w:left="1450" w:hanging="720"/>
      </w:pPr>
      <w:rPr>
        <w:rFonts w:cs="Times New Roman"/>
      </w:rPr>
    </w:lvl>
    <w:lvl w:ilvl="3">
      <w:start w:val="1"/>
      <w:numFmt w:val="decimal"/>
      <w:lvlText w:val="%1.%2.%3.%4."/>
      <w:lvlJc w:val="left"/>
      <w:pPr>
        <w:tabs>
          <w:tab w:val="num" w:pos="0"/>
        </w:tabs>
        <w:ind w:left="1815" w:hanging="720"/>
      </w:pPr>
      <w:rPr>
        <w:rFonts w:cs="Times New Roman"/>
      </w:rPr>
    </w:lvl>
    <w:lvl w:ilvl="4">
      <w:start w:val="1"/>
      <w:numFmt w:val="decimal"/>
      <w:lvlText w:val="%1.%2.%3.%4.%5."/>
      <w:lvlJc w:val="left"/>
      <w:pPr>
        <w:tabs>
          <w:tab w:val="num" w:pos="0"/>
        </w:tabs>
        <w:ind w:left="2540" w:hanging="1080"/>
      </w:pPr>
      <w:rPr>
        <w:rFonts w:cs="Times New Roman"/>
      </w:rPr>
    </w:lvl>
    <w:lvl w:ilvl="5">
      <w:start w:val="1"/>
      <w:numFmt w:val="decimal"/>
      <w:lvlText w:val="%1.%2.%3.%4.%5.%6."/>
      <w:lvlJc w:val="left"/>
      <w:pPr>
        <w:tabs>
          <w:tab w:val="num" w:pos="0"/>
        </w:tabs>
        <w:ind w:left="2905" w:hanging="1080"/>
      </w:pPr>
      <w:rPr>
        <w:rFonts w:cs="Times New Roman"/>
      </w:rPr>
    </w:lvl>
    <w:lvl w:ilvl="6">
      <w:start w:val="1"/>
      <w:numFmt w:val="decimal"/>
      <w:lvlText w:val="%1.%2.%3.%4.%5.%6.%7."/>
      <w:lvlJc w:val="left"/>
      <w:pPr>
        <w:tabs>
          <w:tab w:val="num" w:pos="0"/>
        </w:tabs>
        <w:ind w:left="3630" w:hanging="1440"/>
      </w:pPr>
      <w:rPr>
        <w:rFonts w:cs="Times New Roman"/>
      </w:rPr>
    </w:lvl>
    <w:lvl w:ilvl="7">
      <w:start w:val="1"/>
      <w:numFmt w:val="decimal"/>
      <w:lvlText w:val="%1.%2.%3.%4.%5.%6.%7.%8."/>
      <w:lvlJc w:val="left"/>
      <w:pPr>
        <w:tabs>
          <w:tab w:val="num" w:pos="0"/>
        </w:tabs>
        <w:ind w:left="3995" w:hanging="1440"/>
      </w:pPr>
      <w:rPr>
        <w:rFonts w:cs="Times New Roman"/>
      </w:rPr>
    </w:lvl>
    <w:lvl w:ilvl="8">
      <w:start w:val="1"/>
      <w:numFmt w:val="decimal"/>
      <w:lvlText w:val="%1.%2.%3.%4.%5.%6.%7.%8.%9."/>
      <w:lvlJc w:val="left"/>
      <w:pPr>
        <w:tabs>
          <w:tab w:val="num" w:pos="0"/>
        </w:tabs>
        <w:ind w:left="4720" w:hanging="1800"/>
      </w:pPr>
      <w:rPr>
        <w:rFonts w:cs="Times New Roman"/>
      </w:rPr>
    </w:lvl>
  </w:abstractNum>
  <w:abstractNum w:abstractNumId="4">
    <w:lvl w:ilvl="0">
      <w:start w:val="10"/>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lvl w:ilvl="0">
      <w:start w:val="12"/>
      <w:numFmt w:val="decimal"/>
      <w:lvlText w:val="%1."/>
      <w:lvlJc w:val="left"/>
      <w:pPr>
        <w:tabs>
          <w:tab w:val="num" w:pos="0"/>
        </w:tabs>
        <w:ind w:left="502" w:hanging="360"/>
      </w:pPr>
      <w:rPr>
        <w:rFonts w:cs="Times New Roman"/>
      </w:rPr>
    </w:lvl>
    <w:lvl w:ilvl="1">
      <w:start w:val="1"/>
      <w:numFmt w:val="decimal"/>
      <w:lvlText w:val="%1.%2."/>
      <w:lvlJc w:val="left"/>
      <w:pPr>
        <w:tabs>
          <w:tab w:val="num" w:pos="0"/>
        </w:tabs>
        <w:ind w:left="982" w:hanging="480"/>
      </w:pPr>
      <w:rPr>
        <w:rFonts w:cs="Times New Roman"/>
      </w:rPr>
    </w:lvl>
    <w:lvl w:ilvl="2">
      <w:start w:val="1"/>
      <w:numFmt w:val="decimal"/>
      <w:lvlText w:val="%1.%2.%3."/>
      <w:lvlJc w:val="left"/>
      <w:pPr>
        <w:tabs>
          <w:tab w:val="num" w:pos="0"/>
        </w:tabs>
        <w:ind w:left="1582" w:hanging="720"/>
      </w:pPr>
      <w:rPr>
        <w:rFonts w:cs="Times New Roman"/>
      </w:rPr>
    </w:lvl>
    <w:lvl w:ilvl="3">
      <w:start w:val="1"/>
      <w:numFmt w:val="decimal"/>
      <w:lvlText w:val="%1.%2.%3.%4."/>
      <w:lvlJc w:val="left"/>
      <w:pPr>
        <w:tabs>
          <w:tab w:val="num" w:pos="0"/>
        </w:tabs>
        <w:ind w:left="1942" w:hanging="720"/>
      </w:pPr>
      <w:rPr>
        <w:rFonts w:cs="Times New Roman"/>
      </w:rPr>
    </w:lvl>
    <w:lvl w:ilvl="4">
      <w:start w:val="1"/>
      <w:numFmt w:val="decimal"/>
      <w:lvlText w:val="%1.%2.%3.%4.%5."/>
      <w:lvlJc w:val="left"/>
      <w:pPr>
        <w:tabs>
          <w:tab w:val="num" w:pos="0"/>
        </w:tabs>
        <w:ind w:left="2662" w:hanging="1080"/>
      </w:pPr>
      <w:rPr>
        <w:rFonts w:cs="Times New Roman"/>
      </w:rPr>
    </w:lvl>
    <w:lvl w:ilvl="5">
      <w:start w:val="1"/>
      <w:numFmt w:val="decimal"/>
      <w:lvlText w:val="%1.%2.%3.%4.%5.%6."/>
      <w:lvlJc w:val="left"/>
      <w:pPr>
        <w:tabs>
          <w:tab w:val="num" w:pos="0"/>
        </w:tabs>
        <w:ind w:left="3022" w:hanging="1080"/>
      </w:pPr>
      <w:rPr>
        <w:rFonts w:cs="Times New Roman"/>
      </w:rPr>
    </w:lvl>
    <w:lvl w:ilvl="6">
      <w:start w:val="1"/>
      <w:numFmt w:val="decimal"/>
      <w:lvlText w:val="%1.%2.%3.%4.%5.%6.%7."/>
      <w:lvlJc w:val="left"/>
      <w:pPr>
        <w:tabs>
          <w:tab w:val="num" w:pos="0"/>
        </w:tabs>
        <w:ind w:left="3742" w:hanging="1440"/>
      </w:pPr>
      <w:rPr>
        <w:rFonts w:cs="Times New Roman"/>
      </w:rPr>
    </w:lvl>
    <w:lvl w:ilvl="7">
      <w:start w:val="1"/>
      <w:numFmt w:val="decimal"/>
      <w:lvlText w:val="%1.%2.%3.%4.%5.%6.%7.%8."/>
      <w:lvlJc w:val="left"/>
      <w:pPr>
        <w:tabs>
          <w:tab w:val="num" w:pos="0"/>
        </w:tabs>
        <w:ind w:left="4102" w:hanging="1440"/>
      </w:pPr>
      <w:rPr>
        <w:rFonts w:cs="Times New Roman"/>
      </w:rPr>
    </w:lvl>
    <w:lvl w:ilvl="8">
      <w:start w:val="1"/>
      <w:numFmt w:val="decimal"/>
      <w:lvlText w:val="%1.%2.%3.%4.%5.%6.%7.%8.%9."/>
      <w:lvlJc w:val="left"/>
      <w:pPr>
        <w:tabs>
          <w:tab w:val="num" w:pos="0"/>
        </w:tabs>
        <w:ind w:left="4822" w:hanging="1800"/>
      </w:pPr>
      <w:rPr>
        <w:rFonts w:cs="Times New Roman"/>
      </w:rPr>
    </w:lvl>
  </w:abstractNum>
  <w:abstractNum w:abstractNumId="6">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lvl w:ilvl="0">
      <w:start w:val="11"/>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1">
      <w:startOverride w:val="1"/>
    </w:lvlOverride>
  </w:num>
  <w:num w:numId="10">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3071"/>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8d2815"/>
    <w:rPr>
      <w:rFonts w:ascii="Times New Roman" w:hAnsi="Times New Roman" w:eastAsia="MS Mincho" w:cs="Times New Roman"/>
      <w:sz w:val="24"/>
      <w:szCs w:val="24"/>
      <w:lang w:val="uk-UA" w:eastAsia="uk-UA"/>
    </w:rPr>
  </w:style>
  <w:style w:type="character" w:styleId="HTML" w:customStyle="1">
    <w:name w:val="Стандартный HTML Знак"/>
    <w:basedOn w:val="DefaultParagraphFont"/>
    <w:link w:val="HTML"/>
    <w:uiPriority w:val="99"/>
    <w:qFormat/>
    <w:rsid w:val="008d2815"/>
    <w:rPr>
      <w:rFonts w:ascii="Antiqua" w:hAnsi="Antiqua" w:eastAsia="Courier New" w:cs="Antiqua"/>
      <w:color w:val="000000"/>
      <w:sz w:val="21"/>
      <w:szCs w:val="21"/>
      <w:lang w:val="uk-UA" w:eastAsia="uk-UA"/>
    </w:rPr>
  </w:style>
  <w:style w:type="character" w:styleId="Style15" w:customStyle="1">
    <w:name w:val="Обычный (Интернет) Знак"/>
    <w:link w:val="a5"/>
    <w:qFormat/>
    <w:locked/>
    <w:rsid w:val="00ae2144"/>
    <w:rPr>
      <w:rFonts w:ascii="Times New Roman" w:hAnsi="Times New Roman" w:eastAsia="Cambria" w:cs="Times New Roman"/>
      <w:sz w:val="24"/>
      <w:szCs w:val="24"/>
      <w:lang w:val="uk-UA"/>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24z0">
    <w:name w:val="WW8Num24z0"/>
    <w:qFormat/>
    <w:rPr>
      <w:rFonts w:ascii="Times New Roman" w:hAnsi="Times New Roman" w:eastAsia="Calibri"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Body Text Indent"/>
    <w:basedOn w:val="Normal"/>
    <w:link w:val="a4"/>
    <w:rsid w:val="008d2815"/>
    <w:pPr>
      <w:spacing w:lineRule="auto" w:line="240" w:before="0" w:after="120"/>
      <w:ind w:left="283" w:hanging="0"/>
    </w:pPr>
    <w:rPr>
      <w:rFonts w:ascii="Times New Roman" w:hAnsi="Times New Roman" w:eastAsia="MS Mincho" w:cs="Times New Roman"/>
      <w:sz w:val="24"/>
      <w:szCs w:val="24"/>
      <w:lang w:val="uk-UA" w:eastAsia="uk-UA"/>
    </w:rPr>
  </w:style>
  <w:style w:type="paragraph" w:styleId="HTMLPreformatted">
    <w:name w:val="HTML Preformatted"/>
    <w:basedOn w:val="Normal"/>
    <w:link w:val="HTML0"/>
    <w:uiPriority w:val="99"/>
    <w:qFormat/>
    <w:rsid w:val="008d281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Antiqua" w:hAnsi="Antiqua" w:eastAsia="Courier New" w:cs="Antiqua"/>
      <w:color w:val="000000"/>
      <w:sz w:val="21"/>
      <w:szCs w:val="21"/>
      <w:lang w:val="uk-UA" w:eastAsia="uk-UA"/>
    </w:rPr>
  </w:style>
  <w:style w:type="paragraph" w:styleId="Normal1" w:customStyle="1">
    <w:name w:val="Normal1"/>
    <w:qFormat/>
    <w:rsid w:val="008d2815"/>
    <w:pPr>
      <w:widowControl w:val="false"/>
      <w:suppressAutoHyphens w:val="true"/>
      <w:bidi w:val="0"/>
      <w:spacing w:lineRule="auto" w:line="276" w:before="40" w:after="0"/>
      <w:ind w:firstLine="840"/>
      <w:jc w:val="both"/>
    </w:pPr>
    <w:rPr>
      <w:rFonts w:ascii="Times New Roman" w:hAnsi="Times New Roman" w:eastAsia="Calibri" w:cs="Times New Roman"/>
      <w:color w:val="auto"/>
      <w:kern w:val="0"/>
      <w:sz w:val="20"/>
      <w:szCs w:val="20"/>
      <w:lang w:val="uk-UA" w:eastAsia="ru-RU" w:bidi="ar-SA"/>
    </w:rPr>
  </w:style>
  <w:style w:type="paragraph" w:styleId="3" w:customStyle="1">
    <w:name w:val="Обычный3"/>
    <w:qFormat/>
    <w:rsid w:val="008d2815"/>
    <w:pPr>
      <w:widowControl/>
      <w:suppressAutoHyphens w:val="true"/>
      <w:bidi w:val="0"/>
      <w:spacing w:lineRule="auto" w:line="276" w:before="0" w:after="200"/>
      <w:jc w:val="left"/>
    </w:pPr>
    <w:rPr>
      <w:rFonts w:ascii="Calibri" w:hAnsi="Calibri" w:eastAsia="Cambria" w:cs="Calibri" w:asciiTheme="minorHAnsi" w:hAnsiTheme="minorHAnsi"/>
      <w:color w:val="auto"/>
      <w:kern w:val="0"/>
      <w:sz w:val="22"/>
      <w:szCs w:val="22"/>
      <w:lang w:val="uk-UA" w:eastAsia="ru-RU" w:bidi="ar-SA"/>
    </w:rPr>
  </w:style>
  <w:style w:type="paragraph" w:styleId="NormalWeb">
    <w:name w:val="Normal (Web)"/>
    <w:basedOn w:val="Normal"/>
    <w:link w:val="a6"/>
    <w:qFormat/>
    <w:rsid w:val="00ae2144"/>
    <w:pPr>
      <w:spacing w:lineRule="auto" w:line="240" w:beforeAutospacing="1" w:afterAutospacing="1"/>
    </w:pPr>
    <w:rPr>
      <w:rFonts w:ascii="Times New Roman" w:hAnsi="Times New Roman" w:eastAsia="Cambria" w:cs="Times New Roman"/>
      <w:sz w:val="24"/>
      <w:szCs w:val="24"/>
      <w:lang w:val="uk-UA"/>
    </w:rPr>
  </w:style>
  <w:style w:type="paragraph" w:styleId="ListParagraph">
    <w:name w:val="List Paragraph"/>
    <w:basedOn w:val="Normal"/>
    <w:qFormat/>
    <w:pPr>
      <w:spacing w:before="0" w:after="160"/>
      <w:ind w:left="720" w:right="0" w:hanging="0"/>
      <w:contextualSpacing/>
    </w:pPr>
    <w:rPr/>
  </w:style>
  <w:style w:type="paragraph" w:styleId="Style22">
    <w:name w:val="Без интервала"/>
    <w:qFormat/>
    <w:pPr>
      <w:widowControl/>
      <w:suppressAutoHyphens w:val="true"/>
      <w:bidi w:val="0"/>
      <w:spacing w:before="0" w:after="0"/>
      <w:jc w:val="left"/>
    </w:pPr>
    <w:rPr>
      <w:rFonts w:ascii="Calibri" w:hAnsi="Calibri" w:eastAsia="Calibri" w:cs="Calibri" w:asciiTheme="minorHAnsi" w:hAnsiTheme="minorHAnsi"/>
      <w:color w:val="auto"/>
      <w:kern w:val="0"/>
      <w:sz w:val="22"/>
      <w:szCs w:val="22"/>
      <w:lang w:val="uk-UA" w:eastAsia="ru-RU" w:bidi="ar-SA"/>
    </w:rPr>
  </w:style>
  <w:style w:type="numbering" w:styleId="NoList" w:default="1">
    <w:name w:val="No List"/>
    <w:uiPriority w:val="99"/>
    <w:semiHidden/>
    <w:unhideWhenUsed/>
    <w:qFormat/>
  </w:style>
  <w:style w:type="numbering" w:styleId="WW8Num29">
    <w:name w:val="WW8Num29"/>
    <w:qFormat/>
  </w:style>
  <w:style w:type="numbering" w:styleId="WW8Num24">
    <w:name w:val="WW8Num24"/>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LibreOffice/7.0.1.2$Windows_X86_64 LibreOffice_project/7cbcfc562f6eb6708b5ff7d7397325de9e764452</Application>
  <Pages>10</Pages>
  <Words>2564</Words>
  <Characters>16776</Characters>
  <CharactersWithSpaces>19386</CharactersWithSpaces>
  <Paragraphs>144</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2024-03-29T14:13:51Z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