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690CBD">
                    <w:rPr>
                      <w:rFonts w:ascii="Times New Roman" w:hAnsi="Times New Roman" w:cs="Times New Roman"/>
                      <w:lang w:val="en-US"/>
                    </w:rPr>
                    <w:t>12</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BF616F">
                    <w:rPr>
                      <w:rFonts w:ascii="Times New Roman" w:hAnsi="Times New Roman" w:cs="Times New Roman"/>
                    </w:rPr>
                    <w:t>лютого</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E876CD">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BF7238" w:rsidRDefault="00BF7238" w:rsidP="000F49DC">
      <w:pPr>
        <w:jc w:val="center"/>
        <w:rPr>
          <w:lang w:val="en-US"/>
        </w:rPr>
      </w:pPr>
    </w:p>
    <w:p w:rsidR="005711D2" w:rsidRPr="00D1720A" w:rsidRDefault="00690CBD" w:rsidP="005711D2">
      <w:pPr>
        <w:ind w:firstLine="1134"/>
        <w:jc w:val="cente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955100" w:rsidRDefault="00955100" w:rsidP="00BF7238">
      <w:pPr>
        <w:ind w:firstLine="1134"/>
        <w:jc w:val="center"/>
        <w:rPr>
          <w:color w:val="000000" w:themeColor="text1"/>
          <w:lang w:val="uk-UA"/>
        </w:rPr>
      </w:pPr>
    </w:p>
    <w:p w:rsidR="004A3382" w:rsidRPr="00BF7238" w:rsidRDefault="004A3382" w:rsidP="004A3382">
      <w:pPr>
        <w:ind w:firstLine="1134"/>
        <w:jc w:val="center"/>
        <w:rPr>
          <w:lang w:val="uk-UA"/>
        </w:rPr>
      </w:pPr>
    </w:p>
    <w:p w:rsidR="00046B80" w:rsidRPr="00BF7238" w:rsidRDefault="00046B80" w:rsidP="00046B80">
      <w:pPr>
        <w:ind w:firstLine="1134"/>
        <w:jc w:val="center"/>
        <w:rPr>
          <w:lang w:val="uk-UA"/>
        </w:rPr>
      </w:pPr>
    </w:p>
    <w:p w:rsidR="00AF2D8E" w:rsidRPr="00BF7238" w:rsidRDefault="00AF2D8E" w:rsidP="00AF2D8E">
      <w:pPr>
        <w:ind w:firstLine="1134"/>
        <w:jc w:val="center"/>
        <w:rPr>
          <w:lang w:val="uk-UA"/>
        </w:rPr>
      </w:pPr>
    </w:p>
    <w:p w:rsidR="00FA18DD" w:rsidRPr="00BF7238"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D1720A" w:rsidRDefault="005407E6" w:rsidP="005711D2">
      <w:pPr>
        <w:rPr>
          <w:b/>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E876CD"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690CBD"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071BF3" w:rsidRPr="00D1720A" w:rsidRDefault="00690CBD" w:rsidP="00071BF3">
            <w:pPr>
              <w:rPr>
                <w:lang w:val="uk-UA"/>
              </w:rP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9D3C48" w:rsidRPr="00071BF3" w:rsidRDefault="009D3C48" w:rsidP="009D3C48">
            <w:pPr>
              <w:rPr>
                <w:lang w:val="uk-UA"/>
              </w:rPr>
            </w:pPr>
          </w:p>
          <w:p w:rsidR="002167B4" w:rsidRPr="00112450" w:rsidRDefault="002167B4" w:rsidP="002167B4"/>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sidR="00BF616F">
              <w:rPr>
                <w:lang w:val="uk-UA"/>
              </w:rPr>
              <w:t>Україна</w:t>
            </w:r>
          </w:p>
          <w:p w:rsidR="00690CBD" w:rsidRPr="00690CBD" w:rsidRDefault="00690CBD" w:rsidP="00690CBD">
            <w:pPr>
              <w:rPr>
                <w:lang w:val="en-US"/>
              </w:rPr>
            </w:pPr>
            <w:r>
              <w:rPr>
                <w:shd w:val="clear" w:color="auto" w:fill="FFFFFF"/>
                <w:lang w:val="uk-UA"/>
              </w:rPr>
              <w:t>С</w:t>
            </w:r>
            <w:r w:rsidRPr="000F4701">
              <w:rPr>
                <w:color w:val="000000" w:themeColor="text1"/>
              </w:rPr>
              <w:t>ухофрукти</w:t>
            </w:r>
            <w:r>
              <w:rPr>
                <w:shd w:val="clear" w:color="auto" w:fill="FFFFFF"/>
                <w:lang w:val="uk-UA"/>
              </w:rPr>
              <w:t xml:space="preserve"> – 2</w:t>
            </w:r>
            <w:r>
              <w:rPr>
                <w:shd w:val="clear" w:color="auto" w:fill="FFFFFF"/>
                <w:lang w:val="en-US"/>
              </w:rPr>
              <w:t xml:space="preserve">030 </w:t>
            </w:r>
            <w:r>
              <w:rPr>
                <w:shd w:val="clear" w:color="auto" w:fill="FFFFFF"/>
                <w:lang w:val="uk-UA"/>
              </w:rPr>
              <w:t>кг.</w:t>
            </w:r>
          </w:p>
          <w:p w:rsidR="00446B2B" w:rsidRPr="00444CD6" w:rsidRDefault="00046B80" w:rsidP="00046B80">
            <w:pPr>
              <w:pStyle w:val="af"/>
              <w:rPr>
                <w:rFonts w:ascii="Times New Roman" w:hAnsi="Times New Roman"/>
                <w:color w:val="000000" w:themeColor="text1"/>
                <w:sz w:val="24"/>
                <w:szCs w:val="24"/>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445832" w:rsidRDefault="00A2375A" w:rsidP="00A2375A">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158D0">
              <w:rPr>
                <w:lang w:val="uk-UA"/>
              </w:rPr>
              <w:t>4</w:t>
            </w:r>
            <w:r w:rsidRPr="005B3F17">
              <w:rPr>
                <w:lang w:val="uk-UA"/>
              </w:rPr>
              <w:t xml:space="preserve"> р.</w:t>
            </w:r>
          </w:p>
          <w:p w:rsidR="00607715" w:rsidRPr="00F65413" w:rsidRDefault="00607715" w:rsidP="00607715">
            <w:pPr>
              <w:jc w:val="both"/>
              <w:rPr>
                <w:b/>
                <w:lang w:val="uk-UA"/>
              </w:rPr>
            </w:pPr>
          </w:p>
          <w:p w:rsidR="00EE029C" w:rsidRPr="000F49DC" w:rsidRDefault="00EE029C" w:rsidP="009D3C48">
            <w:pPr>
              <w:jc w:val="both"/>
              <w:rPr>
                <w:lang w:val="uk-UA"/>
              </w:rPr>
            </w:pPr>
          </w:p>
        </w:tc>
      </w:tr>
      <w:tr w:rsidR="002D5DBF" w:rsidRPr="00690CBD"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690CBD">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690CBD">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w:t>
            </w:r>
            <w:r w:rsidR="005A0DCF" w:rsidRPr="005A0DCF">
              <w:rPr>
                <w:lang w:val="uk-UA"/>
              </w:rPr>
              <w:lastRenderedPageBreak/>
              <w:t xml:space="preserve">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690CBD">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w:t>
            </w:r>
            <w:r w:rsidRPr="006F043D">
              <w:rPr>
                <w:color w:val="000000" w:themeColor="text1"/>
              </w:rPr>
              <w:lastRenderedPageBreak/>
              <w:t>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690CBD"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 xml:space="preserve">пункту </w:t>
            </w:r>
            <w:r w:rsidRPr="00CD5280">
              <w:rPr>
                <w:rFonts w:cstheme="minorHAnsi"/>
                <w:color w:val="000000" w:themeColor="text1"/>
                <w:shd w:val="solid" w:color="FFFFFF" w:fill="FFFFFF"/>
                <w:lang w:val="uk-UA"/>
              </w:rPr>
              <w:lastRenderedPageBreak/>
              <w:t>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w:t>
            </w:r>
            <w:r w:rsidRPr="005A0DCF">
              <w:rPr>
                <w:color w:val="000000" w:themeColor="text1"/>
                <w:lang w:val="uk-UA"/>
              </w:rPr>
              <w:lastRenderedPageBreak/>
              <w:t xml:space="preserve">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690CBD"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165C9" w:rsidRPr="000549F1"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0549F1">
              <w:rPr>
                <w:rFonts w:ascii="Times New Roman" w:hAnsi="Times New Roman" w:cs="Times New Roman"/>
                <w:color w:val="000000" w:themeColor="text1"/>
                <w:sz w:val="24"/>
                <w:szCs w:val="24"/>
              </w:rPr>
              <w:t>2. Пояснювальна записка</w:t>
            </w:r>
            <w:r>
              <w:rPr>
                <w:rFonts w:ascii="Times New Roman" w:hAnsi="Times New Roman" w:cs="Times New Roman"/>
                <w:color w:val="000000" w:themeColor="text1"/>
                <w:sz w:val="24"/>
                <w:szCs w:val="24"/>
              </w:rPr>
              <w:t>*</w:t>
            </w:r>
            <w:r w:rsidRPr="000549F1">
              <w:rPr>
                <w:rFonts w:ascii="Times New Roman" w:hAnsi="Times New Roman" w:cs="Times New Roman"/>
                <w:color w:val="000000" w:themeColor="text1"/>
                <w:sz w:val="24"/>
                <w:szCs w:val="24"/>
              </w:rPr>
              <w:t xml:space="preserve"> щодо </w:t>
            </w:r>
            <w:r>
              <w:rPr>
                <w:rFonts w:ascii="Times New Roman" w:hAnsi="Times New Roman" w:cs="Times New Roman"/>
                <w:color w:val="000000" w:themeColor="text1"/>
                <w:sz w:val="24"/>
                <w:szCs w:val="24"/>
              </w:rPr>
              <w:t>предмета закупівлі</w:t>
            </w:r>
            <w:r w:rsidRPr="000549F1">
              <w:rPr>
                <w:rFonts w:ascii="Times New Roman" w:hAnsi="Times New Roman" w:cs="Times New Roman"/>
                <w:color w:val="000000" w:themeColor="text1"/>
                <w:sz w:val="24"/>
                <w:szCs w:val="24"/>
              </w:rPr>
              <w:t>, складена у довільній формі, з описом якісних та функціональних характеристик запропонованого товару, має відповідати технічним, якісним та кількісним характери</w:t>
            </w:r>
            <w:r>
              <w:rPr>
                <w:rFonts w:ascii="Times New Roman" w:hAnsi="Times New Roman" w:cs="Times New Roman"/>
                <w:color w:val="000000" w:themeColor="text1"/>
                <w:sz w:val="24"/>
                <w:szCs w:val="24"/>
              </w:rPr>
              <w:t>стикам предмета закупівлі</w:t>
            </w:r>
            <w:r w:rsidRPr="000549F1">
              <w:rPr>
                <w:rFonts w:ascii="Times New Roman" w:hAnsi="Times New Roman" w:cs="Times New Roman"/>
                <w:color w:val="000000" w:themeColor="text1"/>
                <w:sz w:val="24"/>
                <w:szCs w:val="24"/>
              </w:rPr>
              <w:t>, викладеними у Додатку 3 цієї документації.</w:t>
            </w:r>
          </w:p>
          <w:p w:rsidR="003165C9"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en-US"/>
              </w:rPr>
            </w:pPr>
          </w:p>
          <w:p w:rsidR="00690CBD" w:rsidRPr="00690CBD" w:rsidRDefault="00690CBD"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en-US"/>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690CBD"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EE35C0" w:rsidRPr="005878C4" w:rsidRDefault="00EE35C0" w:rsidP="00EE35C0">
            <w:pPr>
              <w:jc w:val="both"/>
              <w:rPr>
                <w:lang w:val="uk-UA"/>
              </w:rPr>
            </w:pPr>
            <w:r w:rsidRPr="005878C4">
              <w:rPr>
                <w:lang w:val="uk-UA"/>
              </w:rPr>
              <w:t>Відповідність предмета закупівлі:</w:t>
            </w:r>
          </w:p>
          <w:p w:rsidR="00690CBD" w:rsidRPr="00932408" w:rsidRDefault="00690CBD" w:rsidP="00690CBD">
            <w:pPr>
              <w:ind w:firstLine="284"/>
              <w:rPr>
                <w:lang w:val="uk-UA" w:eastAsia="ar-SA"/>
              </w:rPr>
            </w:pPr>
            <w:r w:rsidRPr="00690CBD">
              <w:rPr>
                <w:b/>
                <w:color w:val="000000" w:themeColor="text1"/>
                <w:lang w:val="uk-UA"/>
              </w:rPr>
              <w:t>Сухофрукти (Фрукти сушені)</w:t>
            </w:r>
            <w:r w:rsidRPr="00932408">
              <w:rPr>
                <w:color w:val="000000" w:themeColor="text1"/>
                <w:lang w:val="uk-UA"/>
              </w:rPr>
              <w:t xml:space="preserve"> Відповідність предмета закупівлі - фрукти насіннячкові сушені ДСТУ 8494:2015, фрукти кісточкові сушені ДСТУ 8471:2015.</w:t>
            </w:r>
          </w:p>
          <w:p w:rsidR="00463487" w:rsidRPr="001C1884" w:rsidRDefault="00463487" w:rsidP="00690CBD">
            <w:pPr>
              <w:keepNext/>
              <w:jc w:val="both"/>
              <w:outlineLvl w:val="1"/>
              <w:rPr>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690CBD">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690CBD">
              <w:rPr>
                <w:b/>
                <w:color w:val="000000" w:themeColor="text1"/>
                <w:lang w:val="uk-UA"/>
              </w:rPr>
              <w:t>2</w:t>
            </w:r>
            <w:r w:rsidR="00690CBD" w:rsidRPr="00690CBD">
              <w:rPr>
                <w:b/>
                <w:color w:val="000000" w:themeColor="text1"/>
              </w:rPr>
              <w:t>6</w:t>
            </w:r>
            <w:r w:rsidR="00284C35" w:rsidRPr="007C4D0C">
              <w:rPr>
                <w:b/>
                <w:color w:val="000000" w:themeColor="text1"/>
              </w:rPr>
              <w:t>.</w:t>
            </w:r>
            <w:r w:rsidR="004158D0">
              <w:rPr>
                <w:b/>
                <w:color w:val="000000" w:themeColor="text1"/>
                <w:lang w:val="uk-UA"/>
              </w:rPr>
              <w:t>0</w:t>
            </w:r>
            <w:r w:rsidR="001C1884">
              <w:rPr>
                <w:b/>
                <w:color w:val="000000" w:themeColor="text1"/>
                <w:lang w:val="uk-UA"/>
              </w:rPr>
              <w:t>2</w:t>
            </w:r>
            <w:r w:rsidR="00A74F62" w:rsidRPr="007C4D0C">
              <w:rPr>
                <w:b/>
                <w:color w:val="000000" w:themeColor="text1"/>
              </w:rPr>
              <w:t>.202</w:t>
            </w:r>
            <w:r w:rsidR="004158D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 xml:space="preserve">статті </w:t>
            </w:r>
            <w:r w:rsidRPr="00C376F5">
              <w:rPr>
                <w:color w:val="000000" w:themeColor="text1"/>
                <w:shd w:val="clear" w:color="auto" w:fill="FFFFFF"/>
              </w:rPr>
              <w:lastRenderedPageBreak/>
              <w:t>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w:t>
            </w:r>
            <w:r w:rsidRPr="00807169">
              <w:rPr>
                <w:color w:val="000000" w:themeColor="text1"/>
                <w:lang w:val="uk-UA"/>
              </w:rPr>
              <w:lastRenderedPageBreak/>
              <w:t>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00FC6015" w:rsidRPr="00807169">
              <w:rPr>
                <w:color w:val="000000" w:themeColor="text1"/>
                <w:shd w:val="clear" w:color="auto" w:fill="FFFFFF"/>
              </w:rPr>
              <w:lastRenderedPageBreak/>
              <w:t>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00DB1F7F" w:rsidRPr="00807169">
              <w:rPr>
                <w:color w:val="000000" w:themeColor="text1"/>
                <w:lang w:val="uk-UA" w:eastAsia="uk-UA"/>
              </w:rPr>
              <w:lastRenderedPageBreak/>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9A2866" w:rsidRDefault="009A2866"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302CA0">
              <w:rPr>
                <w:color w:val="000000" w:themeColor="text1"/>
                <w:shd w:val="clear" w:color="auto" w:fill="FFFFFF"/>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r w:rsidRPr="00D1720A">
              <w:rPr>
                <w:color w:val="000000" w:themeColor="text1"/>
                <w:lang w:val="uk-UA"/>
              </w:rPr>
              <w:t>2) тендерна пропозиція: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D1720A">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D1720A">
                <w:rPr>
                  <w:rStyle w:val="af1"/>
                  <w:color w:val="000000" w:themeColor="text1"/>
                  <w:lang w:val="uk-UA"/>
                </w:rPr>
                <w:t>пункту 43</w:t>
              </w:r>
            </w:hyperlink>
            <w:r w:rsidRPr="00807169">
              <w:rPr>
                <w:rStyle w:val="apple-converted-space"/>
                <w:color w:val="000000" w:themeColor="text1"/>
              </w:rPr>
              <w:t> </w:t>
            </w:r>
            <w:r w:rsidRPr="00D1720A">
              <w:rPr>
                <w:color w:val="000000" w:themeColor="text1"/>
                <w:lang w:val="uk-UA"/>
              </w:rPr>
              <w:t>цих особливостей;</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D1720A">
              <w:rPr>
                <w:color w:val="000000" w:themeColor="text1"/>
                <w:lang w:val="uk-UA"/>
              </w:rPr>
              <w:t>є такою, строк дії якої закінчився;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D1720A">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 xml:space="preserve">Замовник може відхилити тендерну пропозицію із зазначенням аргументації в електронній системі закупівель у </w:t>
            </w:r>
            <w:r w:rsidR="0032626D" w:rsidRPr="00807169">
              <w:rPr>
                <w:color w:val="000000" w:themeColor="text1"/>
              </w:rPr>
              <w:lastRenderedPageBreak/>
              <w:t>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 xml:space="preserve">У разі відміни відкритих торгів замовник протягом одного </w:t>
            </w:r>
            <w:r w:rsidRPr="00807169">
              <w:rPr>
                <w:color w:val="000000" w:themeColor="text1"/>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807169">
              <w:rPr>
                <w:color w:val="000000" w:themeColor="text1"/>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погодження зміни ціни за одиницю товару в договорі про закупівлю у разі коливання ціни такого товару на ринку, що </w:t>
            </w:r>
            <w:r w:rsidRPr="00807169">
              <w:rPr>
                <w:color w:val="000000" w:themeColor="text1"/>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 xml:space="preserve">Дії замовника при відмові переможця </w:t>
            </w:r>
            <w:r w:rsidRPr="00807169">
              <w:rPr>
                <w:lang w:eastAsia="uk-UA"/>
              </w:rPr>
              <w:lastRenderedPageBreak/>
              <w:t>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lastRenderedPageBreak/>
              <w:t xml:space="preserve">У разі відмови переможця процедури закупівлі від підписання договору про закупівлю відповідно до вимог тендерної </w:t>
            </w:r>
            <w:r>
              <w:rPr>
                <w:bdr w:val="none" w:sz="0" w:space="0" w:color="auto" w:frame="1"/>
              </w:rPr>
              <w:lastRenderedPageBreak/>
              <w:t>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690CBD" w:rsidRDefault="001C1884" w:rsidP="00690CBD">
      <w:pPr>
        <w:ind w:firstLine="1134"/>
        <w:jc w:val="both"/>
        <w:rPr>
          <w:lang w:val="uk-UA"/>
        </w:rPr>
      </w:pPr>
      <w:r>
        <w:rPr>
          <w:lang w:val="uk-UA"/>
        </w:rPr>
        <w:t xml:space="preserve">   </w:t>
      </w:r>
      <w:r w:rsidR="004158D0">
        <w:rPr>
          <w:lang w:val="uk-UA"/>
        </w:rPr>
        <w:t xml:space="preserve"> </w:t>
      </w:r>
      <w:r w:rsidR="00553BEE" w:rsidRPr="00620FB8">
        <w:t>Ми, (назва Учасника), _________________________надаємо свою пропозицію щодо участі у відкритих торгах на закупівлю</w:t>
      </w:r>
      <w:r w:rsidR="00553BEE" w:rsidRPr="00620FB8">
        <w:rPr>
          <w:color w:val="000000" w:themeColor="text1"/>
          <w:lang w:val="uk-UA"/>
        </w:rPr>
        <w:t xml:space="preserve">  </w:t>
      </w:r>
      <w:r w:rsidR="00690CBD" w:rsidRPr="00BC6393">
        <w:rPr>
          <w:color w:val="000000" w:themeColor="text1"/>
          <w:lang w:val="uk-UA"/>
        </w:rPr>
        <w:t xml:space="preserve">Код ДК 021:2015 - </w:t>
      </w:r>
      <w:r w:rsidR="00690CBD" w:rsidRPr="00690CBD">
        <w:rPr>
          <w:color w:val="000000" w:themeColor="text1"/>
          <w:lang w:val="uk-UA"/>
        </w:rPr>
        <w:t>15330000-0</w:t>
      </w:r>
      <w:r w:rsidR="00690CBD" w:rsidRPr="00BC6393">
        <w:rPr>
          <w:rStyle w:val="apple-converted-space"/>
          <w:rFonts w:eastAsia="Calibri"/>
          <w:color w:val="000000" w:themeColor="text1"/>
          <w:shd w:val="clear" w:color="auto" w:fill="FDFEFD"/>
        </w:rPr>
        <w:t> </w:t>
      </w:r>
      <w:r w:rsidR="00690CBD" w:rsidRPr="00690CBD">
        <w:rPr>
          <w:color w:val="000000" w:themeColor="text1"/>
          <w:shd w:val="clear" w:color="auto" w:fill="FDFEFD"/>
          <w:lang w:val="uk-UA"/>
        </w:rPr>
        <w:t>–</w:t>
      </w:r>
      <w:r w:rsidR="00690CBD" w:rsidRPr="00BC6393">
        <w:rPr>
          <w:rStyle w:val="apple-converted-space"/>
          <w:rFonts w:eastAsia="Calibri"/>
          <w:color w:val="000000" w:themeColor="text1"/>
          <w:shd w:val="clear" w:color="auto" w:fill="FDFEFD"/>
        </w:rPr>
        <w:t> </w:t>
      </w:r>
      <w:r w:rsidR="00690CBD" w:rsidRPr="00690CBD">
        <w:rPr>
          <w:color w:val="000000" w:themeColor="text1"/>
          <w:lang w:val="uk-UA"/>
        </w:rPr>
        <w:t>Оброблені фрукти та овочі</w:t>
      </w:r>
      <w:r w:rsidR="00553BEE" w:rsidRPr="00620FB8">
        <w:rPr>
          <w:lang w:val="uk-UA"/>
        </w:rPr>
        <w:t>, згідно з вимогами Замовника торгів.</w:t>
      </w:r>
    </w:p>
    <w:p w:rsidR="00553BEE" w:rsidRDefault="00553BEE" w:rsidP="001C188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lastRenderedPageBreak/>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4F07B2" w:rsidRPr="000F49DC" w:rsidRDefault="00E47366" w:rsidP="004F07B2">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вказувати </w:t>
      </w:r>
      <w:r w:rsidR="004F07B2" w:rsidRPr="001D0ADB">
        <w:rPr>
          <w:rFonts w:eastAsia="Courier New"/>
          <w:bCs/>
          <w:color w:val="000000" w:themeColor="text1"/>
          <w:lang w:val="uk-UA"/>
        </w:rPr>
        <w:t>найменування</w:t>
      </w:r>
      <w:r w:rsidR="004F07B2" w:rsidRPr="001D0ADB">
        <w:t xml:space="preserve"> запропонованого учасником товару</w:t>
      </w:r>
      <w:r w:rsidR="004F07B2"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sidR="004F07B2">
        <w:rPr>
          <w:rFonts w:eastAsia="Courier New"/>
          <w:bCs/>
          <w:color w:val="000000" w:themeColor="text1"/>
          <w:lang w:val="uk-UA"/>
        </w:rPr>
        <w:t xml:space="preserve"> </w:t>
      </w:r>
      <w:r w:rsidR="004F07B2" w:rsidRPr="001D0ADB">
        <w:rPr>
          <w:rFonts w:eastAsia="Courier New"/>
          <w:bCs/>
          <w:color w:val="000000" w:themeColor="text1"/>
          <w:lang w:val="uk-UA"/>
        </w:rPr>
        <w:t>тендерної документації та переліку, наведеному у Додатку 3 цієї документації.</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EE35C0">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w:t>
      </w:r>
      <w:r w:rsidR="004158D0">
        <w:rPr>
          <w:lang w:val="uk-UA"/>
        </w:rPr>
        <w:t>иїв</w:t>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t>«___» _________ 2024</w:t>
      </w:r>
      <w:r>
        <w:rPr>
          <w:lang w:val="uk-UA"/>
        </w:rPr>
        <w:t xml:space="preserve">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sidR="00633079" w:rsidRPr="005B3F17">
        <w:rPr>
          <w:lang w:val="uk-UA"/>
        </w:rPr>
        <w:t>________________________</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w:t>
      </w:r>
      <w:r w:rsidR="00633079" w:rsidRPr="005B3F17">
        <w:rPr>
          <w:lang w:val="uk-UA"/>
        </w:rPr>
        <w:t>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1C1884" w:rsidRDefault="00553BEE" w:rsidP="00690CBD">
      <w:pPr>
        <w:jc w:val="both"/>
      </w:pPr>
      <w:r w:rsidRPr="00620FB8">
        <w:rPr>
          <w:color w:val="000000" w:themeColor="text1"/>
          <w:lang w:val="uk-UA"/>
        </w:rPr>
        <w:t xml:space="preserve">1.1. Продавець зобов’язується поставити </w:t>
      </w:r>
      <w:r w:rsidR="00690CBD" w:rsidRPr="00BC6393">
        <w:rPr>
          <w:color w:val="000000" w:themeColor="text1"/>
          <w:lang w:val="uk-UA"/>
        </w:rPr>
        <w:t xml:space="preserve">Код ДК 021:2015 - </w:t>
      </w:r>
      <w:r w:rsidR="00690CBD" w:rsidRPr="00BC6393">
        <w:rPr>
          <w:color w:val="000000" w:themeColor="text1"/>
        </w:rPr>
        <w:t>15330000-0</w:t>
      </w:r>
      <w:r w:rsidR="00690CBD" w:rsidRPr="00BC6393">
        <w:rPr>
          <w:rStyle w:val="apple-converted-space"/>
          <w:rFonts w:eastAsia="Calibri"/>
          <w:color w:val="000000" w:themeColor="text1"/>
          <w:shd w:val="clear" w:color="auto" w:fill="FDFEFD"/>
        </w:rPr>
        <w:t> </w:t>
      </w:r>
      <w:r w:rsidR="00690CBD" w:rsidRPr="00BC6393">
        <w:rPr>
          <w:color w:val="000000" w:themeColor="text1"/>
          <w:shd w:val="clear" w:color="auto" w:fill="FDFEFD"/>
        </w:rPr>
        <w:t>–</w:t>
      </w:r>
      <w:r w:rsidR="00690CBD" w:rsidRPr="00BC6393">
        <w:rPr>
          <w:rStyle w:val="apple-converted-space"/>
          <w:rFonts w:eastAsia="Calibri"/>
          <w:color w:val="000000" w:themeColor="text1"/>
          <w:shd w:val="clear" w:color="auto" w:fill="FDFEFD"/>
        </w:rPr>
        <w:t> </w:t>
      </w:r>
      <w:r w:rsidR="00690CBD" w:rsidRPr="00BC6393">
        <w:rPr>
          <w:color w:val="000000" w:themeColor="text1"/>
        </w:rPr>
        <w:t>Оброблені фрукти та овочі</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53BEE">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lastRenderedPageBreak/>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sidR="004158D0">
        <w:rPr>
          <w:lang w:val="uk-UA"/>
        </w:rPr>
        <w:t xml:space="preserve">24 </w:t>
      </w:r>
      <w:r w:rsidRPr="005B3F17">
        <w:t>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w:t>
      </w:r>
      <w:r w:rsidRPr="005B3F17">
        <w:rPr>
          <w:rFonts w:ascii="Times New Roman" w:hAnsi="Times New Roman"/>
          <w:noProof/>
          <w:sz w:val="24"/>
          <w:szCs w:val="24"/>
        </w:rPr>
        <w:lastRenderedPageBreak/>
        <w:t>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w:t>
      </w:r>
      <w:r w:rsidRPr="005B3F17">
        <w:rPr>
          <w:lang w:val="uk-UA"/>
        </w:rPr>
        <w:lastRenderedPageBreak/>
        <w:t xml:space="preserve">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2821EA">
        <w:rPr>
          <w:noProof/>
          <w:lang w:val="uk-UA"/>
        </w:rPr>
        <w:t>24</w:t>
      </w:r>
      <w:r>
        <w:rPr>
          <w:noProof/>
          <w:lang w:val="uk-UA"/>
        </w:rPr>
        <w:t>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lastRenderedPageBreak/>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633079" w:rsidRPr="001D3F4F" w:rsidRDefault="00633079" w:rsidP="00633079">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Default="00553BEE" w:rsidP="00906EB8">
            <w:pPr>
              <w:rPr>
                <w:bCs/>
                <w:lang w:val="uk-UA"/>
              </w:rPr>
            </w:pPr>
          </w:p>
          <w:p w:rsidR="002D57F5" w:rsidRPr="00690CBD" w:rsidRDefault="002D57F5" w:rsidP="00906EB8">
            <w:pPr>
              <w:rPr>
                <w:bCs/>
                <w:lang w:val="en-US"/>
              </w:rPr>
            </w:pPr>
          </w:p>
          <w:p w:rsidR="002D57F5" w:rsidRDefault="002D57F5" w:rsidP="00906EB8">
            <w:pPr>
              <w:rPr>
                <w:bCs/>
                <w:lang w:val="uk-UA"/>
              </w:rPr>
            </w:pPr>
          </w:p>
          <w:p w:rsidR="002D57F5" w:rsidRPr="00EE35C0" w:rsidRDefault="002D57F5" w:rsidP="00906EB8">
            <w:pPr>
              <w:rPr>
                <w:bCs/>
                <w:lang w:val="uk-UA"/>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4158D0">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EE35C0" w:rsidRDefault="00553BEE" w:rsidP="00EE35C0">
      <w:pPr>
        <w:tabs>
          <w:tab w:val="num" w:pos="360"/>
        </w:tabs>
        <w:rPr>
          <w:rStyle w:val="af1"/>
          <w:rFonts w:eastAsia="Courier New"/>
          <w:bCs/>
          <w:color w:val="auto"/>
          <w:u w:val="none"/>
          <w:lang w:val="uk-UA"/>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Pr="001A088F" w:rsidRDefault="00553BEE" w:rsidP="00553BEE">
            <w:pPr>
              <w:pStyle w:val="21"/>
              <w:spacing w:after="0" w:line="240" w:lineRule="auto"/>
              <w:rPr>
                <w:color w:val="000000" w:themeColor="text1"/>
              </w:rPr>
            </w:pPr>
          </w:p>
          <w:p w:rsidR="00553BEE" w:rsidRPr="002D57F5" w:rsidRDefault="00553BEE" w:rsidP="002D57F5">
            <w:pPr>
              <w:tabs>
                <w:tab w:val="left" w:pos="2006"/>
              </w:tabs>
              <w:rPr>
                <w:lang w:val="uk-UA"/>
              </w:rPr>
            </w:pPr>
            <w:r w:rsidRPr="001A088F">
              <w:rPr>
                <w:color w:val="000000" w:themeColor="text1"/>
              </w:rPr>
              <w:t xml:space="preserve">________________   </w:t>
            </w: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Default="00553BEE"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F4AB9" w:rsidRDefault="003F4AB9" w:rsidP="00906EB8">
            <w:pPr>
              <w:pStyle w:val="21"/>
              <w:spacing w:after="0" w:line="240" w:lineRule="auto"/>
              <w:rPr>
                <w:bCs/>
                <w:lang w:val="en-US"/>
              </w:rPr>
            </w:pPr>
          </w:p>
          <w:p w:rsidR="00690CBD" w:rsidRPr="00690CBD" w:rsidRDefault="00690CBD" w:rsidP="00906EB8">
            <w:pPr>
              <w:pStyle w:val="21"/>
              <w:spacing w:after="0" w:line="240" w:lineRule="auto"/>
              <w:rPr>
                <w:bCs/>
                <w:lang w:val="en-US"/>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217E86" w:rsidRDefault="00217E86" w:rsidP="00906EB8">
            <w:pPr>
              <w:pStyle w:val="21"/>
              <w:spacing w:after="0" w:line="240" w:lineRule="auto"/>
              <w:rPr>
                <w:bCs/>
                <w:lang w:val="uk-UA"/>
              </w:rPr>
            </w:pPr>
          </w:p>
          <w:p w:rsidR="003D3269" w:rsidRPr="001122F7" w:rsidRDefault="003D3269"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lastRenderedPageBreak/>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4158D0">
        <w:rPr>
          <w:rStyle w:val="af1"/>
          <w:rFonts w:eastAsia="Courier New"/>
          <w:bCs/>
          <w:color w:val="auto"/>
          <w:u w:val="none"/>
          <w:lang w:val="uk-UA"/>
        </w:rPr>
        <w:t>4</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pStyle w:val="21"/>
              <w:spacing w:after="0" w:line="240" w:lineRule="auto"/>
              <w:rPr>
                <w:bCs/>
                <w:color w:val="000000" w:themeColor="text1"/>
                <w:lang w:val="uk-UA"/>
              </w:rPr>
            </w:pPr>
          </w:p>
        </w:tc>
      </w:tr>
    </w:tbl>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690CBD" w:rsidRPr="00D1720A" w:rsidRDefault="000C36D3" w:rsidP="00690CBD">
      <w:pPr>
        <w:ind w:firstLine="1134"/>
        <w:jc w:val="center"/>
      </w:pPr>
      <w:r w:rsidRPr="000C36D3">
        <w:rPr>
          <w:bCs/>
          <w:color w:val="000000" w:themeColor="text1"/>
          <w:lang w:val="uk-UA"/>
        </w:rPr>
        <w:t xml:space="preserve"> </w:t>
      </w:r>
      <w:r w:rsidR="00690CBD" w:rsidRPr="00BC6393">
        <w:rPr>
          <w:color w:val="000000" w:themeColor="text1"/>
          <w:lang w:val="uk-UA"/>
        </w:rPr>
        <w:t xml:space="preserve">Код ДК 021:2015 - </w:t>
      </w:r>
      <w:r w:rsidR="00690CBD" w:rsidRPr="00BC6393">
        <w:rPr>
          <w:color w:val="000000" w:themeColor="text1"/>
        </w:rPr>
        <w:t>15330000-0</w:t>
      </w:r>
      <w:r w:rsidR="00690CBD" w:rsidRPr="00BC6393">
        <w:rPr>
          <w:rStyle w:val="apple-converted-space"/>
          <w:rFonts w:eastAsia="Calibri"/>
          <w:color w:val="000000" w:themeColor="text1"/>
          <w:shd w:val="clear" w:color="auto" w:fill="FDFEFD"/>
        </w:rPr>
        <w:t> </w:t>
      </w:r>
      <w:r w:rsidR="00690CBD" w:rsidRPr="00BC6393">
        <w:rPr>
          <w:color w:val="000000" w:themeColor="text1"/>
          <w:shd w:val="clear" w:color="auto" w:fill="FDFEFD"/>
        </w:rPr>
        <w:t>–</w:t>
      </w:r>
      <w:r w:rsidR="00690CBD" w:rsidRPr="00BC6393">
        <w:rPr>
          <w:rStyle w:val="apple-converted-space"/>
          <w:rFonts w:eastAsia="Calibri"/>
          <w:color w:val="000000" w:themeColor="text1"/>
          <w:shd w:val="clear" w:color="auto" w:fill="FDFEFD"/>
        </w:rPr>
        <w:t> </w:t>
      </w:r>
      <w:r w:rsidR="00690CBD" w:rsidRPr="00BC6393">
        <w:rPr>
          <w:color w:val="000000" w:themeColor="text1"/>
        </w:rPr>
        <w:t>Оброблені фрукти та овочі</w:t>
      </w:r>
      <w:r w:rsidR="00690CBD" w:rsidRPr="00BC6393">
        <w:rPr>
          <w:color w:val="000000" w:themeColor="text1"/>
          <w:lang w:val="uk-UA"/>
        </w:rPr>
        <w:t>.</w:t>
      </w:r>
    </w:p>
    <w:p w:rsidR="000C36D3" w:rsidRPr="00690CBD" w:rsidRDefault="000C36D3" w:rsidP="000C36D3">
      <w:pPr>
        <w:rPr>
          <w:color w:val="000000" w:themeColor="text1"/>
          <w:lang w:val="en-US"/>
        </w:rPr>
      </w:pPr>
    </w:p>
    <w:p w:rsidR="00690CBD" w:rsidRDefault="00690CBD" w:rsidP="00690CBD">
      <w:pPr>
        <w:rPr>
          <w:color w:val="000000" w:themeColor="text1"/>
          <w:lang w:val="uk-UA"/>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701"/>
        <w:gridCol w:w="2410"/>
      </w:tblGrid>
      <w:tr w:rsidR="00690CBD" w:rsidRPr="00F65413" w:rsidTr="00472C5D">
        <w:trPr>
          <w:cantSplit/>
        </w:trPr>
        <w:tc>
          <w:tcPr>
            <w:tcW w:w="425" w:type="dxa"/>
          </w:tcPr>
          <w:p w:rsidR="00690CBD" w:rsidRPr="00F65413" w:rsidRDefault="00690CBD" w:rsidP="00472C5D">
            <w:pPr>
              <w:ind w:left="-27" w:right="-135"/>
              <w:rPr>
                <w:bCs/>
                <w:lang w:val="uk-UA"/>
              </w:rPr>
            </w:pPr>
            <w:r w:rsidRPr="00F65413">
              <w:rPr>
                <w:bCs/>
                <w:lang w:val="uk-UA"/>
              </w:rPr>
              <w:t xml:space="preserve">№ </w:t>
            </w:r>
          </w:p>
        </w:tc>
        <w:tc>
          <w:tcPr>
            <w:tcW w:w="3686" w:type="dxa"/>
          </w:tcPr>
          <w:p w:rsidR="00690CBD" w:rsidRPr="00F65413" w:rsidRDefault="00690CBD" w:rsidP="00472C5D">
            <w:pPr>
              <w:jc w:val="center"/>
              <w:rPr>
                <w:bCs/>
                <w:lang w:val="uk-UA"/>
              </w:rPr>
            </w:pPr>
            <w:r w:rsidRPr="00F65413">
              <w:rPr>
                <w:bCs/>
                <w:lang w:val="uk-UA"/>
              </w:rPr>
              <w:t>Найменування</w:t>
            </w:r>
            <w:r>
              <w:rPr>
                <w:bCs/>
                <w:lang w:val="uk-UA"/>
              </w:rPr>
              <w:t>*</w:t>
            </w:r>
          </w:p>
        </w:tc>
        <w:tc>
          <w:tcPr>
            <w:tcW w:w="1701" w:type="dxa"/>
          </w:tcPr>
          <w:p w:rsidR="00690CBD" w:rsidRPr="00F65413" w:rsidRDefault="00690CBD" w:rsidP="00472C5D">
            <w:pPr>
              <w:jc w:val="center"/>
              <w:rPr>
                <w:bCs/>
                <w:lang w:val="uk-UA"/>
              </w:rPr>
            </w:pPr>
            <w:r w:rsidRPr="00F65413">
              <w:rPr>
                <w:bCs/>
                <w:lang w:val="uk-UA"/>
              </w:rPr>
              <w:t>Одиниця виміру</w:t>
            </w:r>
          </w:p>
        </w:tc>
        <w:tc>
          <w:tcPr>
            <w:tcW w:w="2410" w:type="dxa"/>
          </w:tcPr>
          <w:p w:rsidR="00690CBD" w:rsidRPr="00F65413" w:rsidRDefault="00690CBD" w:rsidP="00472C5D">
            <w:pPr>
              <w:jc w:val="center"/>
              <w:rPr>
                <w:bCs/>
                <w:lang w:val="uk-UA"/>
              </w:rPr>
            </w:pPr>
            <w:r w:rsidRPr="00F65413">
              <w:rPr>
                <w:bCs/>
                <w:lang w:val="uk-UA"/>
              </w:rPr>
              <w:t>Кількість</w:t>
            </w:r>
          </w:p>
        </w:tc>
      </w:tr>
      <w:tr w:rsidR="00690CBD" w:rsidRPr="00F65413" w:rsidTr="00472C5D">
        <w:trPr>
          <w:cantSplit/>
        </w:trPr>
        <w:tc>
          <w:tcPr>
            <w:tcW w:w="425" w:type="dxa"/>
          </w:tcPr>
          <w:p w:rsidR="00690CBD" w:rsidRPr="00903EF2" w:rsidRDefault="00690CBD" w:rsidP="00472C5D">
            <w:pPr>
              <w:ind w:left="-27" w:right="-135"/>
              <w:jc w:val="center"/>
              <w:rPr>
                <w:bCs/>
                <w:lang w:val="en-US"/>
              </w:rPr>
            </w:pPr>
            <w:r>
              <w:rPr>
                <w:bCs/>
                <w:lang w:val="en-US"/>
              </w:rPr>
              <w:t>1</w:t>
            </w:r>
          </w:p>
        </w:tc>
        <w:tc>
          <w:tcPr>
            <w:tcW w:w="3686" w:type="dxa"/>
          </w:tcPr>
          <w:p w:rsidR="00690CBD" w:rsidRPr="00932408" w:rsidRDefault="00690CBD" w:rsidP="00472C5D">
            <w:pPr>
              <w:rPr>
                <w:bCs/>
                <w:lang w:val="uk-UA"/>
              </w:rPr>
            </w:pPr>
            <w:r>
              <w:rPr>
                <w:lang w:val="uk-UA"/>
              </w:rPr>
              <w:t>Сухофрукти</w:t>
            </w:r>
          </w:p>
        </w:tc>
        <w:tc>
          <w:tcPr>
            <w:tcW w:w="1701" w:type="dxa"/>
            <w:vAlign w:val="center"/>
          </w:tcPr>
          <w:p w:rsidR="00690CBD" w:rsidRPr="00C57540" w:rsidRDefault="00690CBD" w:rsidP="00472C5D">
            <w:pPr>
              <w:jc w:val="center"/>
              <w:rPr>
                <w:lang w:val="uk-UA"/>
              </w:rPr>
            </w:pPr>
            <w:r>
              <w:rPr>
                <w:lang w:val="uk-UA"/>
              </w:rPr>
              <w:t>кг</w:t>
            </w:r>
            <w:r w:rsidRPr="00C57540">
              <w:rPr>
                <w:lang w:val="uk-UA"/>
              </w:rPr>
              <w:t>.</w:t>
            </w:r>
          </w:p>
        </w:tc>
        <w:tc>
          <w:tcPr>
            <w:tcW w:w="2410" w:type="dxa"/>
          </w:tcPr>
          <w:p w:rsidR="00690CBD" w:rsidRPr="00903EF2" w:rsidRDefault="004A5B9B" w:rsidP="00472C5D">
            <w:pPr>
              <w:jc w:val="center"/>
              <w:rPr>
                <w:bCs/>
                <w:lang w:val="en-US"/>
              </w:rPr>
            </w:pPr>
            <w:r>
              <w:rPr>
                <w:bCs/>
                <w:lang w:val="uk-UA"/>
              </w:rPr>
              <w:t>2030</w:t>
            </w:r>
          </w:p>
        </w:tc>
      </w:tr>
    </w:tbl>
    <w:p w:rsidR="00690CBD" w:rsidRDefault="00690CBD" w:rsidP="00690CBD">
      <w:pPr>
        <w:rPr>
          <w:rStyle w:val="af9"/>
          <w:i w:val="0"/>
          <w:color w:val="000000" w:themeColor="text1"/>
          <w:lang w:val="uk-UA"/>
        </w:rPr>
      </w:pPr>
    </w:p>
    <w:p w:rsidR="00690CBD" w:rsidRPr="002C3ACE" w:rsidRDefault="00690CBD" w:rsidP="00690CBD">
      <w:pPr>
        <w:pStyle w:val="aa"/>
        <w:shd w:val="clear" w:color="auto" w:fill="FFFFFF"/>
        <w:tabs>
          <w:tab w:val="left" w:pos="6379"/>
        </w:tabs>
        <w:ind w:left="0"/>
        <w:jc w:val="both"/>
        <w:rPr>
          <w:color w:val="000000" w:themeColor="text1"/>
          <w:lang w:val="uk-UA"/>
        </w:rPr>
      </w:pPr>
    </w:p>
    <w:p w:rsidR="00690CBD" w:rsidRPr="00932408" w:rsidRDefault="00690CBD" w:rsidP="00690CBD">
      <w:pPr>
        <w:ind w:firstLine="567"/>
        <w:jc w:val="both"/>
        <w:rPr>
          <w:color w:val="000000" w:themeColor="text1"/>
          <w:lang w:val="uk-UA"/>
        </w:rPr>
      </w:pPr>
      <w:r w:rsidRPr="00932408">
        <w:rPr>
          <w:lang w:val="uk-UA" w:eastAsia="ar-SA"/>
        </w:rPr>
        <w:t xml:space="preserve">   </w:t>
      </w:r>
      <w:r w:rsidRPr="00932408">
        <w:rPr>
          <w:color w:val="000000" w:themeColor="text1"/>
          <w:lang w:val="uk-UA" w:eastAsia="ar-SA"/>
        </w:rPr>
        <w:t xml:space="preserve">* </w:t>
      </w:r>
      <w:r w:rsidRPr="00932408">
        <w:rPr>
          <w:b/>
          <w:color w:val="000000" w:themeColor="text1"/>
          <w:lang w:val="uk-UA" w:eastAsia="ar-SA"/>
        </w:rPr>
        <w:t>Сухофрукти (</w:t>
      </w:r>
      <w:r w:rsidRPr="00932408">
        <w:rPr>
          <w:b/>
          <w:color w:val="000000" w:themeColor="text1"/>
          <w:lang w:val="uk-UA"/>
        </w:rPr>
        <w:t>Фрукти сушені)</w:t>
      </w:r>
      <w:r w:rsidRPr="00932408">
        <w:rPr>
          <w:color w:val="000000" w:themeColor="text1"/>
          <w:lang w:val="uk-UA"/>
        </w:rPr>
        <w:t xml:space="preserve"> Відповідність предмета закупівлі - фрукти насіннячкові сушені ДСТУ 8494:2015, фрукти кісточкові сушені ДСТУ 8471:2015. Продукція не нижче 1 сорту.</w:t>
      </w:r>
    </w:p>
    <w:p w:rsidR="00690CBD" w:rsidRPr="004E61E9" w:rsidRDefault="00690CBD" w:rsidP="00690CBD">
      <w:pPr>
        <w:ind w:firstLine="567"/>
        <w:jc w:val="both"/>
        <w:rPr>
          <w:color w:val="000000" w:themeColor="text1"/>
        </w:rPr>
      </w:pPr>
      <w:r w:rsidRPr="00932408">
        <w:rPr>
          <w:b/>
          <w:color w:val="000000" w:themeColor="text1"/>
          <w:lang w:val="uk-UA"/>
        </w:rPr>
        <w:t>Для насіннячкової продукції</w:t>
      </w:r>
      <w:r w:rsidRPr="00932408">
        <w:rPr>
          <w:color w:val="000000" w:themeColor="text1"/>
          <w:lang w:val="uk-UA"/>
        </w:rPr>
        <w:t xml:space="preserve"> (яблуко, груша): зовнішній вигляд - цілі плоди або кільця (бокові зрізи, повноцінні по м’якоті), дольки плодів. </w:t>
      </w:r>
      <w:r w:rsidRPr="004E61E9">
        <w:rPr>
          <w:color w:val="000000" w:themeColor="text1"/>
        </w:rPr>
        <w:t xml:space="preserve">Сушені фрукти еластичні, не крихкі, не злипаються у стисненому стані. </w:t>
      </w:r>
    </w:p>
    <w:p w:rsidR="00690CBD" w:rsidRPr="004E61E9" w:rsidRDefault="00690CBD" w:rsidP="00690CBD">
      <w:pPr>
        <w:ind w:firstLine="567"/>
        <w:jc w:val="both"/>
        <w:rPr>
          <w:color w:val="000000" w:themeColor="text1"/>
        </w:rPr>
      </w:pPr>
      <w:r w:rsidRPr="004E61E9">
        <w:rPr>
          <w:color w:val="000000" w:themeColor="text1"/>
        </w:rPr>
        <w:t>Колір властивий сушеним яблуку та груші різаної або груші цілої.</w:t>
      </w:r>
    </w:p>
    <w:p w:rsidR="00690CBD" w:rsidRPr="004E61E9" w:rsidRDefault="00690CBD" w:rsidP="00690CBD">
      <w:pPr>
        <w:ind w:firstLine="567"/>
        <w:jc w:val="both"/>
        <w:rPr>
          <w:color w:val="000000" w:themeColor="text1"/>
        </w:rPr>
      </w:pPr>
      <w:r w:rsidRPr="004E61E9">
        <w:rPr>
          <w:color w:val="000000" w:themeColor="text1"/>
        </w:rPr>
        <w:t xml:space="preserve">Смак та запах властивий фруктам даного типу, без стороннього смаку та запаху. </w:t>
      </w:r>
    </w:p>
    <w:p w:rsidR="00690CBD" w:rsidRPr="004E61E9" w:rsidRDefault="00690CBD" w:rsidP="00690CBD">
      <w:pPr>
        <w:ind w:firstLine="567"/>
        <w:jc w:val="both"/>
        <w:rPr>
          <w:color w:val="000000" w:themeColor="text1"/>
        </w:rPr>
      </w:pPr>
      <w:r w:rsidRPr="004E61E9">
        <w:rPr>
          <w:b/>
          <w:color w:val="000000" w:themeColor="text1"/>
        </w:rPr>
        <w:t>Для кісточкової продукції</w:t>
      </w:r>
      <w:r w:rsidRPr="004E61E9">
        <w:rPr>
          <w:color w:val="000000" w:themeColor="text1"/>
        </w:rPr>
        <w:t xml:space="preserve"> (слива, вишня): зовнішній вигляд - цілі плоди з кісточкою, цілі приплюснуті плоди з вичавленою кісточкою. Сушені фрукти одного виду з не пошкодженою шкіркою, не злипаються у стисненому стані. </w:t>
      </w:r>
    </w:p>
    <w:p w:rsidR="00690CBD" w:rsidRPr="004E61E9" w:rsidRDefault="00690CBD" w:rsidP="00690CBD">
      <w:pPr>
        <w:ind w:firstLine="567"/>
        <w:jc w:val="both"/>
        <w:rPr>
          <w:color w:val="000000" w:themeColor="text1"/>
        </w:rPr>
      </w:pPr>
      <w:r w:rsidRPr="004E61E9">
        <w:rPr>
          <w:color w:val="000000" w:themeColor="text1"/>
        </w:rPr>
        <w:t>Колір властивий сушеним сливі та вишні.</w:t>
      </w:r>
    </w:p>
    <w:p w:rsidR="00690CBD" w:rsidRPr="004E61E9" w:rsidRDefault="00690CBD" w:rsidP="00690CBD">
      <w:pPr>
        <w:ind w:firstLine="567"/>
        <w:jc w:val="both"/>
      </w:pPr>
      <w:r w:rsidRPr="004E61E9">
        <w:t xml:space="preserve">Смак та запах властивий фруктам даного типу, без стороннього смаку та запаху. </w:t>
      </w:r>
    </w:p>
    <w:p w:rsidR="00690CBD" w:rsidRPr="004E61E9" w:rsidRDefault="00690CBD" w:rsidP="00690CBD">
      <w:pPr>
        <w:ind w:firstLine="567"/>
        <w:jc w:val="both"/>
      </w:pPr>
      <w:r w:rsidRPr="004E61E9">
        <w:t>Якість, тара, упаковка повинні відповідати ДСТУ 8494:2015, ДСТУ 8471:2015. Товар повинен мати залишковий термін придатності не менше 75% від передбаченого ДСТУ строку зберігання товару.</w:t>
      </w:r>
    </w:p>
    <w:p w:rsidR="00690CBD" w:rsidRPr="000F4701" w:rsidRDefault="00690CBD" w:rsidP="00690CBD">
      <w:pPr>
        <w:ind w:firstLine="567"/>
        <w:jc w:val="both"/>
        <w:rPr>
          <w:color w:val="000000" w:themeColor="text1"/>
        </w:rPr>
      </w:pPr>
      <w:r w:rsidRPr="004E61E9">
        <w:rPr>
          <w:color w:val="000000" w:themeColor="text1"/>
        </w:rPr>
        <w:t>Поставка товару – один раз на квартал згідно заявки.</w:t>
      </w:r>
    </w:p>
    <w:p w:rsidR="00690CBD" w:rsidRPr="003D58E5" w:rsidRDefault="00690CBD" w:rsidP="00690CBD">
      <w:pPr>
        <w:ind w:firstLine="284"/>
        <w:rPr>
          <w:lang w:eastAsia="ar-SA"/>
        </w:rPr>
      </w:pPr>
    </w:p>
    <w:p w:rsidR="002F2654" w:rsidRPr="002D57F5" w:rsidRDefault="00217E86" w:rsidP="002D57F5">
      <w:pPr>
        <w:ind w:firstLine="567"/>
        <w:jc w:val="both"/>
        <w:rPr>
          <w:u w:val="single"/>
          <w:lang w:val="uk-UA"/>
        </w:rPr>
      </w:pPr>
      <w:r w:rsidRPr="00F37DB7">
        <w:rPr>
          <w:color w:val="000000" w:themeColor="text1"/>
        </w:rPr>
        <w:t xml:space="preserve">   </w:t>
      </w:r>
    </w:p>
    <w:p w:rsidR="002F2654" w:rsidRDefault="002F2654" w:rsidP="00EF754E">
      <w:pPr>
        <w:jc w:val="both"/>
        <w:rPr>
          <w:lang w:val="en-US"/>
        </w:rPr>
      </w:pPr>
    </w:p>
    <w:p w:rsidR="00690CBD" w:rsidRPr="00690CBD" w:rsidRDefault="00690CBD" w:rsidP="00EF754E">
      <w:pPr>
        <w:jc w:val="both"/>
        <w:rPr>
          <w:lang w:val="en-US"/>
        </w:rPr>
      </w:pPr>
    </w:p>
    <w:p w:rsidR="002F2654" w:rsidRPr="00E942F6" w:rsidRDefault="002F265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690CBD" w:rsidRPr="00690CBD" w:rsidRDefault="00690CBD" w:rsidP="00A34E70">
      <w:pPr>
        <w:tabs>
          <w:tab w:val="num" w:pos="360"/>
        </w:tabs>
        <w:rPr>
          <w:rStyle w:val="af1"/>
          <w:rFonts w:eastAsia="Courier New"/>
          <w:b/>
          <w:bCs/>
          <w:color w:val="auto"/>
          <w:lang w:val="en-US"/>
        </w:rPr>
      </w:pPr>
    </w:p>
    <w:p w:rsidR="00690CBD" w:rsidRDefault="00690CBD" w:rsidP="00A34E70">
      <w:pPr>
        <w:tabs>
          <w:tab w:val="num" w:pos="360"/>
        </w:tabs>
        <w:rPr>
          <w:rStyle w:val="af1"/>
          <w:rFonts w:eastAsia="Courier New"/>
          <w:b/>
          <w:bCs/>
          <w:color w:val="auto"/>
          <w:lang w:val="en-US"/>
        </w:rPr>
      </w:pPr>
    </w:p>
    <w:p w:rsidR="00690CBD" w:rsidRPr="00690CBD" w:rsidRDefault="00690CBD" w:rsidP="00A34E70">
      <w:pPr>
        <w:tabs>
          <w:tab w:val="num" w:pos="360"/>
        </w:tabs>
        <w:rPr>
          <w:rStyle w:val="af1"/>
          <w:rFonts w:eastAsia="Courier New"/>
          <w:b/>
          <w:bCs/>
          <w:color w:val="auto"/>
          <w:lang w:val="en-US"/>
        </w:rPr>
      </w:pPr>
    </w:p>
    <w:p w:rsidR="003D3269" w:rsidRDefault="003D3269"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15CFD" w:rsidRPr="00EE35C0" w:rsidRDefault="00A34E70" w:rsidP="00EE35C0">
      <w:pPr>
        <w:jc w:val="both"/>
        <w:rPr>
          <w:lang w:val="uk-UA"/>
        </w:rPr>
      </w:pPr>
      <w:r>
        <w:rPr>
          <w:lang w:val="uk-UA"/>
        </w:rPr>
        <w:t xml:space="preserve"> </w:t>
      </w:r>
    </w:p>
    <w:p w:rsidR="00CC7CBC" w:rsidRDefault="00CC7CBC" w:rsidP="00A34E70">
      <w:pPr>
        <w:jc w:val="right"/>
        <w:rPr>
          <w:b/>
          <w:lang w:val="en-US"/>
        </w:rPr>
      </w:pPr>
    </w:p>
    <w:p w:rsidR="00690CBD" w:rsidRDefault="00690CBD" w:rsidP="00A34E70">
      <w:pPr>
        <w:jc w:val="right"/>
        <w:rPr>
          <w:b/>
          <w:lang w:val="en-US"/>
        </w:rPr>
      </w:pPr>
    </w:p>
    <w:p w:rsidR="00690CBD" w:rsidRDefault="00690CBD" w:rsidP="00A34E70">
      <w:pPr>
        <w:jc w:val="right"/>
        <w:rPr>
          <w:b/>
          <w:lang w:val="en-US"/>
        </w:rPr>
      </w:pPr>
    </w:p>
    <w:p w:rsidR="00690CBD" w:rsidRPr="00690CBD" w:rsidRDefault="00690CBD" w:rsidP="00A34E70">
      <w:pPr>
        <w:jc w:val="right"/>
        <w:rPr>
          <w:b/>
          <w:lang w:val="en-US"/>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690CBD" w:rsidRDefault="000E29F1" w:rsidP="00690CBD">
      <w:pPr>
        <w:ind w:firstLine="1134"/>
        <w:jc w:val="center"/>
      </w:pPr>
      <w:r w:rsidRPr="002F2654">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F2654">
        <w:rPr>
          <w:color w:val="000000" w:themeColor="text1"/>
          <w:lang w:val="uk-UA"/>
        </w:rPr>
        <w:t xml:space="preserve"> </w:t>
      </w:r>
      <w:r w:rsidR="00690CBD" w:rsidRPr="00BC6393">
        <w:rPr>
          <w:color w:val="000000" w:themeColor="text1"/>
          <w:lang w:val="uk-UA"/>
        </w:rPr>
        <w:t xml:space="preserve">Код ДК 021:2015 - </w:t>
      </w:r>
      <w:r w:rsidR="00690CBD" w:rsidRPr="00BC6393">
        <w:rPr>
          <w:color w:val="000000" w:themeColor="text1"/>
        </w:rPr>
        <w:t>15330000-0</w:t>
      </w:r>
      <w:r w:rsidR="00690CBD" w:rsidRPr="00BC6393">
        <w:rPr>
          <w:rStyle w:val="apple-converted-space"/>
          <w:rFonts w:eastAsia="Calibri"/>
          <w:color w:val="000000" w:themeColor="text1"/>
          <w:shd w:val="clear" w:color="auto" w:fill="FDFEFD"/>
        </w:rPr>
        <w:t> </w:t>
      </w:r>
      <w:r w:rsidR="00690CBD" w:rsidRPr="00BC6393">
        <w:rPr>
          <w:color w:val="000000" w:themeColor="text1"/>
          <w:shd w:val="clear" w:color="auto" w:fill="FDFEFD"/>
        </w:rPr>
        <w:t>–</w:t>
      </w:r>
      <w:r w:rsidR="00690CBD" w:rsidRPr="00BC6393">
        <w:rPr>
          <w:rStyle w:val="apple-converted-space"/>
          <w:rFonts w:eastAsia="Calibri"/>
          <w:color w:val="000000" w:themeColor="text1"/>
          <w:shd w:val="clear" w:color="auto" w:fill="FDFEFD"/>
        </w:rPr>
        <w:t> </w:t>
      </w:r>
      <w:r w:rsidR="00690CBD" w:rsidRPr="00BC6393">
        <w:rPr>
          <w:color w:val="000000" w:themeColor="text1"/>
        </w:rPr>
        <w:t>Оброблені фрукти та овочі</w:t>
      </w:r>
      <w:r w:rsidR="00B77C99" w:rsidRPr="002F2654">
        <w:rPr>
          <w:color w:val="000000" w:themeColor="text1"/>
          <w:lang w:val="uk-UA"/>
        </w:rPr>
        <w:t xml:space="preserve">, </w:t>
      </w:r>
      <w:r w:rsidRPr="002F2654">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9C9" w:rsidRDefault="00B129C9" w:rsidP="00AA7584">
      <w:r>
        <w:separator/>
      </w:r>
    </w:p>
  </w:endnote>
  <w:endnote w:type="continuationSeparator" w:id="1">
    <w:p w:rsidR="00B129C9" w:rsidRDefault="00B129C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9C9" w:rsidRDefault="00B129C9" w:rsidP="00AA7584">
      <w:r>
        <w:separator/>
      </w:r>
    </w:p>
  </w:footnote>
  <w:footnote w:type="continuationSeparator" w:id="1">
    <w:p w:rsidR="00B129C9" w:rsidRDefault="00B129C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D3" w:rsidRDefault="00A351EF">
    <w:pPr>
      <w:pStyle w:val="a6"/>
      <w:jc w:val="center"/>
    </w:pPr>
    <w:fldSimple w:instr=" PAGE   \* MERGEFORMAT ">
      <w:r w:rsidR="004A5B9B">
        <w:rPr>
          <w:noProof/>
        </w:rPr>
        <w:t>6</w:t>
      </w:r>
    </w:fldSimple>
  </w:p>
  <w:p w:rsidR="000C36D3" w:rsidRDefault="000C36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6B80"/>
    <w:rsid w:val="00047CD5"/>
    <w:rsid w:val="00051991"/>
    <w:rsid w:val="00052416"/>
    <w:rsid w:val="000525B2"/>
    <w:rsid w:val="000553C9"/>
    <w:rsid w:val="000554D6"/>
    <w:rsid w:val="0005574F"/>
    <w:rsid w:val="00060192"/>
    <w:rsid w:val="000602F8"/>
    <w:rsid w:val="0006185E"/>
    <w:rsid w:val="00064D5A"/>
    <w:rsid w:val="000657D7"/>
    <w:rsid w:val="000665EB"/>
    <w:rsid w:val="0006724C"/>
    <w:rsid w:val="0007139D"/>
    <w:rsid w:val="00071BF3"/>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C36D3"/>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0A67"/>
    <w:rsid w:val="001012A0"/>
    <w:rsid w:val="001036A6"/>
    <w:rsid w:val="00103FB2"/>
    <w:rsid w:val="001048AC"/>
    <w:rsid w:val="001055B4"/>
    <w:rsid w:val="00107187"/>
    <w:rsid w:val="0010736C"/>
    <w:rsid w:val="0011077C"/>
    <w:rsid w:val="00112450"/>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884"/>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28C4"/>
    <w:rsid w:val="0020356B"/>
    <w:rsid w:val="00204B2B"/>
    <w:rsid w:val="0020650C"/>
    <w:rsid w:val="0020712D"/>
    <w:rsid w:val="00210906"/>
    <w:rsid w:val="00210F58"/>
    <w:rsid w:val="002152FE"/>
    <w:rsid w:val="00215685"/>
    <w:rsid w:val="00215A91"/>
    <w:rsid w:val="002167B4"/>
    <w:rsid w:val="00217E86"/>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21EA"/>
    <w:rsid w:val="00283C33"/>
    <w:rsid w:val="00284C35"/>
    <w:rsid w:val="00286786"/>
    <w:rsid w:val="00286EF5"/>
    <w:rsid w:val="00287BA0"/>
    <w:rsid w:val="0029097C"/>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7F5"/>
    <w:rsid w:val="002D5D89"/>
    <w:rsid w:val="002D5DBF"/>
    <w:rsid w:val="002E1042"/>
    <w:rsid w:val="002E11A4"/>
    <w:rsid w:val="002E155D"/>
    <w:rsid w:val="002E19B6"/>
    <w:rsid w:val="002E2D3E"/>
    <w:rsid w:val="002E547D"/>
    <w:rsid w:val="002E719C"/>
    <w:rsid w:val="002E748E"/>
    <w:rsid w:val="002F1DD0"/>
    <w:rsid w:val="002F1F22"/>
    <w:rsid w:val="002F239E"/>
    <w:rsid w:val="002F2654"/>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212"/>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269"/>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4AB9"/>
    <w:rsid w:val="003F6D75"/>
    <w:rsid w:val="00400C9B"/>
    <w:rsid w:val="004017B6"/>
    <w:rsid w:val="00401F8E"/>
    <w:rsid w:val="00403945"/>
    <w:rsid w:val="00403EF6"/>
    <w:rsid w:val="00404890"/>
    <w:rsid w:val="004052C8"/>
    <w:rsid w:val="00405E8C"/>
    <w:rsid w:val="004106CB"/>
    <w:rsid w:val="0041293F"/>
    <w:rsid w:val="00412DCA"/>
    <w:rsid w:val="004158D0"/>
    <w:rsid w:val="004163F3"/>
    <w:rsid w:val="0041674B"/>
    <w:rsid w:val="00420912"/>
    <w:rsid w:val="004252A9"/>
    <w:rsid w:val="00425CA4"/>
    <w:rsid w:val="004305D8"/>
    <w:rsid w:val="004306C5"/>
    <w:rsid w:val="0043130D"/>
    <w:rsid w:val="00434420"/>
    <w:rsid w:val="0043664C"/>
    <w:rsid w:val="00437E5E"/>
    <w:rsid w:val="00440EC9"/>
    <w:rsid w:val="0044191E"/>
    <w:rsid w:val="0044372D"/>
    <w:rsid w:val="00443949"/>
    <w:rsid w:val="00444CD6"/>
    <w:rsid w:val="0044524C"/>
    <w:rsid w:val="004456CA"/>
    <w:rsid w:val="00445832"/>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0364"/>
    <w:rsid w:val="004A1635"/>
    <w:rsid w:val="004A1718"/>
    <w:rsid w:val="004A21DC"/>
    <w:rsid w:val="004A23A5"/>
    <w:rsid w:val="004A3382"/>
    <w:rsid w:val="004A4821"/>
    <w:rsid w:val="004A59DF"/>
    <w:rsid w:val="004A5B9B"/>
    <w:rsid w:val="004A7721"/>
    <w:rsid w:val="004A7E07"/>
    <w:rsid w:val="004B23FE"/>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1D2"/>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07715"/>
    <w:rsid w:val="00610149"/>
    <w:rsid w:val="006109C1"/>
    <w:rsid w:val="00611EE9"/>
    <w:rsid w:val="00612CFC"/>
    <w:rsid w:val="006139FF"/>
    <w:rsid w:val="00620508"/>
    <w:rsid w:val="00620D58"/>
    <w:rsid w:val="00620FB8"/>
    <w:rsid w:val="00621E0D"/>
    <w:rsid w:val="00623E12"/>
    <w:rsid w:val="00626D7E"/>
    <w:rsid w:val="00627B5E"/>
    <w:rsid w:val="00627E0B"/>
    <w:rsid w:val="00632914"/>
    <w:rsid w:val="00633079"/>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0CBD"/>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845"/>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B6F58"/>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64DC"/>
    <w:rsid w:val="008E74EB"/>
    <w:rsid w:val="008F2E26"/>
    <w:rsid w:val="008F402F"/>
    <w:rsid w:val="008F5DF5"/>
    <w:rsid w:val="00903EF2"/>
    <w:rsid w:val="00904251"/>
    <w:rsid w:val="00906125"/>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15C9"/>
    <w:rsid w:val="0099309D"/>
    <w:rsid w:val="00995037"/>
    <w:rsid w:val="009960BD"/>
    <w:rsid w:val="00996317"/>
    <w:rsid w:val="00997AC8"/>
    <w:rsid w:val="009A09BC"/>
    <w:rsid w:val="009A2866"/>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3C48"/>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15FFC"/>
    <w:rsid w:val="00A20901"/>
    <w:rsid w:val="00A21957"/>
    <w:rsid w:val="00A21CC5"/>
    <w:rsid w:val="00A2375A"/>
    <w:rsid w:val="00A2686A"/>
    <w:rsid w:val="00A32BF3"/>
    <w:rsid w:val="00A33994"/>
    <w:rsid w:val="00A34E70"/>
    <w:rsid w:val="00A351EF"/>
    <w:rsid w:val="00A3607A"/>
    <w:rsid w:val="00A36E58"/>
    <w:rsid w:val="00A409AD"/>
    <w:rsid w:val="00A41C0D"/>
    <w:rsid w:val="00A46209"/>
    <w:rsid w:val="00A463BC"/>
    <w:rsid w:val="00A509DB"/>
    <w:rsid w:val="00A50C65"/>
    <w:rsid w:val="00A51032"/>
    <w:rsid w:val="00A52F7F"/>
    <w:rsid w:val="00A53CA9"/>
    <w:rsid w:val="00A53FF9"/>
    <w:rsid w:val="00A54B99"/>
    <w:rsid w:val="00A55DC6"/>
    <w:rsid w:val="00A63C94"/>
    <w:rsid w:val="00A74CA9"/>
    <w:rsid w:val="00A74F62"/>
    <w:rsid w:val="00A7623C"/>
    <w:rsid w:val="00A763AD"/>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A088D"/>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9C9"/>
    <w:rsid w:val="00B12EA7"/>
    <w:rsid w:val="00B16F53"/>
    <w:rsid w:val="00B21669"/>
    <w:rsid w:val="00B21FE9"/>
    <w:rsid w:val="00B22598"/>
    <w:rsid w:val="00B2643C"/>
    <w:rsid w:val="00B30077"/>
    <w:rsid w:val="00B31260"/>
    <w:rsid w:val="00B31D70"/>
    <w:rsid w:val="00B3230B"/>
    <w:rsid w:val="00B3524D"/>
    <w:rsid w:val="00B363CE"/>
    <w:rsid w:val="00B37352"/>
    <w:rsid w:val="00B408C4"/>
    <w:rsid w:val="00B4195D"/>
    <w:rsid w:val="00B44C54"/>
    <w:rsid w:val="00B46835"/>
    <w:rsid w:val="00B52B96"/>
    <w:rsid w:val="00B548C7"/>
    <w:rsid w:val="00B54F2B"/>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16F"/>
    <w:rsid w:val="00BF629B"/>
    <w:rsid w:val="00BF7238"/>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20A"/>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194F"/>
    <w:rsid w:val="00E83C81"/>
    <w:rsid w:val="00E858B6"/>
    <w:rsid w:val="00E876CD"/>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35C0"/>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11627</Words>
  <Characters>66276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77748</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3</cp:revision>
  <cp:lastPrinted>2023-01-18T08:53:00Z</cp:lastPrinted>
  <dcterms:created xsi:type="dcterms:W3CDTF">2024-02-16T10:02:00Z</dcterms:created>
  <dcterms:modified xsi:type="dcterms:W3CDTF">2024-02-16T10:03:00Z</dcterms:modified>
</cp:coreProperties>
</file>