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689"/>
      </w:tblGrid>
      <w:tr w:rsidR="008F6B19" w:rsidRPr="00A6029B" w14:paraId="241F453C" w14:textId="77777777" w:rsidTr="008F6B19">
        <w:tc>
          <w:tcPr>
            <w:tcW w:w="0" w:type="auto"/>
            <w:tcMar>
              <w:top w:w="0" w:type="dxa"/>
              <w:left w:w="108" w:type="dxa"/>
              <w:bottom w:w="0" w:type="dxa"/>
              <w:right w:w="108" w:type="dxa"/>
            </w:tcMar>
            <w:hideMark/>
          </w:tcPr>
          <w:p w14:paraId="1EAB3DB6" w14:textId="7D113085" w:rsidR="008F6B19" w:rsidRPr="008111F0" w:rsidRDefault="00FC27FA"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w:t>
            </w:r>
            <w:r w:rsidR="009A530E">
              <w:rPr>
                <w:rFonts w:ascii="Times New Roman" w:eastAsia="Times New Roman" w:hAnsi="Times New Roman" w:cs="Times New Roman"/>
                <w:b/>
                <w:sz w:val="28"/>
                <w:szCs w:val="24"/>
              </w:rPr>
              <w:t>4239</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9A530E"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9A530E">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9A530E">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501162CA" w:rsidR="004B7337" w:rsidRPr="004B7337" w:rsidRDefault="00101932" w:rsidP="00FC27FA">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«Дефібрилятор, електрокардіограф</w:t>
            </w:r>
            <w:r w:rsidR="00FC27FA">
              <w:rPr>
                <w:rFonts w:ascii="Times New Roman" w:eastAsia="Times New Roman" w:hAnsi="Times New Roman" w:cs="Times New Roman"/>
                <w:b/>
                <w:bCs/>
                <w:sz w:val="24"/>
                <w:szCs w:val="24"/>
              </w:rPr>
              <w:t>»</w:t>
            </w:r>
          </w:p>
          <w:p w14:paraId="7A337783" w14:textId="77777777" w:rsidR="00101932" w:rsidRDefault="008F6B19" w:rsidP="008F6B19">
            <w:pPr>
              <w:spacing w:after="0" w:line="240" w:lineRule="auto"/>
              <w:ind w:left="992" w:right="188"/>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ДК 021:2015</w:t>
            </w:r>
            <w:r w:rsidR="001229F6">
              <w:rPr>
                <w:rFonts w:ascii="Times New Roman" w:eastAsia="Times New Roman" w:hAnsi="Times New Roman" w:cs="Times New Roman"/>
                <w:b/>
                <w:sz w:val="24"/>
                <w:szCs w:val="24"/>
              </w:rPr>
              <w:t xml:space="preserve"> </w:t>
            </w:r>
            <w:r w:rsidR="00836DA8">
              <w:rPr>
                <w:rFonts w:ascii="Times New Roman" w:eastAsia="Times New Roman" w:hAnsi="Times New Roman" w:cs="Times New Roman"/>
                <w:b/>
                <w:sz w:val="24"/>
                <w:szCs w:val="24"/>
              </w:rPr>
              <w:t>–</w:t>
            </w:r>
            <w:r w:rsidR="001229F6">
              <w:rPr>
                <w:rFonts w:ascii="Times New Roman" w:eastAsia="Times New Roman" w:hAnsi="Times New Roman" w:cs="Times New Roman"/>
                <w:b/>
                <w:sz w:val="24"/>
                <w:szCs w:val="24"/>
              </w:rPr>
              <w:t xml:space="preserve"> </w:t>
            </w:r>
            <w:r w:rsidR="00101932">
              <w:rPr>
                <w:rFonts w:ascii="Times New Roman" w:eastAsia="Times New Roman" w:hAnsi="Times New Roman" w:cs="Times New Roman"/>
                <w:b/>
                <w:sz w:val="24"/>
                <w:szCs w:val="24"/>
              </w:rPr>
              <w:t>33190000-8</w:t>
            </w:r>
            <w:r w:rsidR="00836DA8">
              <w:rPr>
                <w:rFonts w:ascii="Times New Roman" w:eastAsia="Times New Roman" w:hAnsi="Times New Roman" w:cs="Times New Roman"/>
                <w:b/>
                <w:sz w:val="24"/>
                <w:szCs w:val="24"/>
              </w:rPr>
              <w:t xml:space="preserve"> Ме</w:t>
            </w:r>
            <w:r w:rsidR="00101932">
              <w:rPr>
                <w:rFonts w:ascii="Times New Roman" w:eastAsia="Times New Roman" w:hAnsi="Times New Roman" w:cs="Times New Roman"/>
                <w:b/>
                <w:sz w:val="24"/>
                <w:szCs w:val="24"/>
              </w:rPr>
              <w:t>дичне обладнання та</w:t>
            </w:r>
          </w:p>
          <w:p w14:paraId="44FDFE37" w14:textId="1BB497E2" w:rsidR="008F6B19" w:rsidRPr="002E1FE1" w:rsidRDefault="00101932" w:rsidP="008F6B19">
            <w:pPr>
              <w:spacing w:after="0" w:line="240" w:lineRule="auto"/>
              <w:ind w:left="992" w:right="1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вироби</w:t>
            </w:r>
            <w:r w:rsidR="00836DA8">
              <w:rPr>
                <w:rFonts w:ascii="Times New Roman" w:eastAsia="Times New Roman" w:hAnsi="Times New Roman" w:cs="Times New Roman"/>
                <w:b/>
                <w:sz w:val="24"/>
                <w:szCs w:val="24"/>
              </w:rPr>
              <w:t xml:space="preserve"> медичного призначення</w:t>
            </w:r>
            <w:r w:rsidR="00FC27FA" w:rsidRPr="002E1FE1">
              <w:rPr>
                <w:rFonts w:ascii="Times New Roman" w:eastAsia="Times New Roman" w:hAnsi="Times New Roman" w:cs="Times New Roman"/>
                <w:b/>
                <w:sz w:val="24"/>
                <w:szCs w:val="24"/>
              </w:rPr>
              <w:t xml:space="preserve"> </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7191548" w:rsidR="008F6B19"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lastRenderedPageBreak/>
              <w:t xml:space="preserve">м. </w:t>
            </w:r>
            <w:r w:rsidR="009A530E">
              <w:rPr>
                <w:rFonts w:ascii="Times New Roman" w:eastAsia="Times New Roman" w:hAnsi="Times New Roman" w:cs="Times New Roman"/>
                <w:b/>
                <w:sz w:val="24"/>
                <w:szCs w:val="24"/>
              </w:rPr>
              <w:t>Хмельницький</w:t>
            </w:r>
            <w:r>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Pr="00294E16">
              <w:rPr>
                <w:rFonts w:ascii="Times New Roman" w:eastAsia="Times New Roman" w:hAnsi="Times New Roman" w:cs="Times New Roman"/>
                <w:b/>
                <w:sz w:val="24"/>
                <w:szCs w:val="24"/>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t>І. ЗАГАЛЬНІ ПОЛОЖЕННЯ</w:t>
                  </w:r>
                </w:p>
              </w:tc>
            </w:tr>
            <w:tr w:rsidR="008F6B19" w:rsidRPr="00294E16" w14:paraId="2EC90A54" w14:textId="77777777" w:rsidTr="000C0250">
              <w:tc>
                <w:tcPr>
                  <w:tcW w:w="890" w:type="dxa"/>
                  <w:shd w:val="clear" w:color="auto" w:fill="D7E3BC"/>
                </w:tcPr>
                <w:p w14:paraId="278DDD53"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w:t>
                  </w:r>
                </w:p>
              </w:tc>
              <w:tc>
                <w:tcPr>
                  <w:tcW w:w="3261" w:type="dxa"/>
                  <w:shd w:val="clear" w:color="auto" w:fill="D7E3BC"/>
                </w:tcPr>
                <w:p w14:paraId="0870812A"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7C035FCD" w:rsidR="008F6B19" w:rsidRPr="009A530E"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9A530E">
                    <w:rPr>
                      <w:rFonts w:ascii="Times New Roman" w:eastAsia="Times New Roman" w:hAnsi="Times New Roman" w:cs="Times New Roman"/>
                    </w:rPr>
                    <w:t>4239</w:t>
                  </w:r>
                  <w:r w:rsidR="004D1105" w:rsidRPr="00286505">
                    <w:rPr>
                      <w:rFonts w:ascii="Times New Roman" w:eastAsia="Times New Roman" w:hAnsi="Times New Roman" w:cs="Times New Roman"/>
                    </w:rPr>
                    <w:t xml:space="preserve"> (далі - Замовник)</w:t>
                  </w:r>
                </w:p>
                <w:p w14:paraId="3F01565E" w14:textId="6B7F3312" w:rsidR="00655BFC" w:rsidRPr="00286505"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м.Хмельницький</w:t>
                  </w:r>
                </w:p>
                <w:p w14:paraId="17A84DD0" w14:textId="42B35A68" w:rsidR="00FC27FA" w:rsidRPr="00FC27FA"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ЄДРПОУ 22998246</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C0250">
              <w:trPr>
                <w:trHeight w:val="1267"/>
              </w:trPr>
              <w:tc>
                <w:tcPr>
                  <w:tcW w:w="890" w:type="dxa"/>
                  <w:shd w:val="clear" w:color="auto" w:fill="D7E3BC"/>
                </w:tcPr>
                <w:p w14:paraId="719DFA4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w:t>
                  </w:r>
                </w:p>
              </w:tc>
              <w:tc>
                <w:tcPr>
                  <w:tcW w:w="3261" w:type="dxa"/>
                  <w:shd w:val="clear" w:color="auto" w:fill="D7E3BC"/>
                </w:tcPr>
                <w:p w14:paraId="5498483E"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3D245F47" w14:textId="77777777" w:rsidR="00101932" w:rsidRPr="00101932" w:rsidRDefault="00101932" w:rsidP="00101932">
                  <w:pPr>
                    <w:spacing w:after="0" w:line="240" w:lineRule="auto"/>
                    <w:rPr>
                      <w:rFonts w:ascii="Times New Roman" w:eastAsia="Times New Roman" w:hAnsi="Times New Roman" w:cs="Times New Roman"/>
                      <w:color w:val="000000" w:themeColor="text1"/>
                    </w:rPr>
                  </w:pPr>
                  <w:r w:rsidRPr="00101932">
                    <w:rPr>
                      <w:rFonts w:ascii="Times New Roman" w:eastAsia="Times New Roman" w:hAnsi="Times New Roman" w:cs="Times New Roman"/>
                      <w:color w:val="000000" w:themeColor="text1"/>
                    </w:rPr>
                    <w:t>«Дефібрилятор, електрокардіограф»</w:t>
                  </w:r>
                </w:p>
                <w:p w14:paraId="71185E7E" w14:textId="2EAC147B" w:rsidR="00CA3B43" w:rsidRPr="002E1FE1" w:rsidRDefault="00101932" w:rsidP="00101932">
                  <w:pPr>
                    <w:spacing w:after="0" w:line="240" w:lineRule="auto"/>
                    <w:rPr>
                      <w:rFonts w:ascii="Times New Roman" w:eastAsia="Times New Roman" w:hAnsi="Times New Roman" w:cs="Times New Roman"/>
                    </w:rPr>
                  </w:pPr>
                  <w:r w:rsidRPr="00101932">
                    <w:rPr>
                      <w:rFonts w:ascii="Times New Roman" w:eastAsia="Times New Roman" w:hAnsi="Times New Roman" w:cs="Times New Roman"/>
                      <w:color w:val="000000" w:themeColor="text1"/>
                    </w:rPr>
                    <w:t>ДК 021:2015 – 33190000-8 Медичне обладнання та</w:t>
                  </w:r>
                  <w:r>
                    <w:rPr>
                      <w:rFonts w:ascii="Times New Roman" w:eastAsia="Times New Roman" w:hAnsi="Times New Roman" w:cs="Times New Roman"/>
                      <w:color w:val="000000" w:themeColor="text1"/>
                    </w:rPr>
                    <w:t xml:space="preserve"> </w:t>
                  </w:r>
                  <w:r w:rsidRPr="00101932">
                    <w:rPr>
                      <w:rFonts w:ascii="Times New Roman" w:eastAsia="Times New Roman" w:hAnsi="Times New Roman" w:cs="Times New Roman"/>
                      <w:color w:val="000000" w:themeColor="text1"/>
                    </w:rPr>
                    <w:t xml:space="preserve"> вироби медичного призначення</w:t>
                  </w:r>
                </w:p>
              </w:tc>
            </w:tr>
            <w:tr w:rsidR="008F6B19" w:rsidRPr="00294E16" w14:paraId="5DD03289" w14:textId="77777777" w:rsidTr="000C0250">
              <w:tc>
                <w:tcPr>
                  <w:tcW w:w="890" w:type="dxa"/>
                  <w:shd w:val="clear" w:color="auto" w:fill="D7E3BC"/>
                </w:tcPr>
                <w:p w14:paraId="1B3C4470"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2.1</w:t>
                  </w:r>
                </w:p>
              </w:tc>
              <w:tc>
                <w:tcPr>
                  <w:tcW w:w="3261" w:type="dxa"/>
                  <w:shd w:val="clear" w:color="auto" w:fill="D7E3BC"/>
                </w:tcPr>
                <w:p w14:paraId="721A327C"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C0250">
              <w:tc>
                <w:tcPr>
                  <w:tcW w:w="890" w:type="dxa"/>
                  <w:shd w:val="clear" w:color="auto" w:fill="D7E3BC"/>
                </w:tcPr>
                <w:p w14:paraId="172F92A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3.</w:t>
                  </w:r>
                </w:p>
              </w:tc>
              <w:tc>
                <w:tcPr>
                  <w:tcW w:w="3261" w:type="dxa"/>
                  <w:shd w:val="clear" w:color="auto" w:fill="D7E3BC"/>
                </w:tcPr>
                <w:p w14:paraId="1719E53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434C8E38"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302D81">
                    <w:rPr>
                      <w:rFonts w:ascii="Times New Roman" w:eastAsia="Times New Roman" w:hAnsi="Times New Roman" w:cs="Times New Roman"/>
                      <w:b/>
                    </w:rPr>
                    <w:t>1</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C0250">
              <w:tc>
                <w:tcPr>
                  <w:tcW w:w="890" w:type="dxa"/>
                  <w:shd w:val="clear" w:color="auto" w:fill="D7E3BC"/>
                </w:tcPr>
                <w:p w14:paraId="7FE021B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4.</w:t>
                  </w:r>
                </w:p>
              </w:tc>
              <w:tc>
                <w:tcPr>
                  <w:tcW w:w="3261" w:type="dxa"/>
                  <w:shd w:val="clear" w:color="auto" w:fill="D7E3BC"/>
                </w:tcPr>
                <w:p w14:paraId="547B55A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65FF6B9C"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302D81">
                    <w:rPr>
                      <w:rFonts w:ascii="Times New Roman" w:eastAsia="Times New Roman" w:hAnsi="Times New Roman" w:cs="Times New Roman"/>
                    </w:rPr>
                    <w:t>1</w:t>
                  </w:r>
                  <w:r w:rsidRPr="00977040">
                    <w:rPr>
                      <w:rFonts w:ascii="Times New Roman" w:eastAsia="Times New Roman" w:hAnsi="Times New Roman" w:cs="Times New Roman"/>
                    </w:rPr>
                    <w:t xml:space="preserve"> до оголошення.</w:t>
                  </w:r>
                </w:p>
                <w:p w14:paraId="1A90F900" w14:textId="05423EB6" w:rsidR="00FE04F7" w:rsidRPr="00286505" w:rsidRDefault="00EF0276"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м</w:t>
                  </w:r>
                  <w:r w:rsidR="009A530E">
                    <w:rPr>
                      <w:rFonts w:ascii="Times New Roman" w:eastAsia="Times New Roman" w:hAnsi="Times New Roman" w:cs="Times New Roman"/>
                      <w:b/>
                    </w:rPr>
                    <w:t>.Хмельницький</w:t>
                  </w:r>
                  <w:r w:rsidR="004D1105" w:rsidRPr="00286505">
                    <w:rPr>
                      <w:rFonts w:ascii="Times New Roman" w:eastAsia="Times New Roman" w:hAnsi="Times New Roman" w:cs="Times New Roman"/>
                      <w:b/>
                    </w:rPr>
                    <w:t xml:space="preserve"> </w:t>
                  </w:r>
                </w:p>
              </w:tc>
            </w:tr>
            <w:tr w:rsidR="008F6B19" w:rsidRPr="00294E16" w14:paraId="3BD03E5C" w14:textId="77777777" w:rsidTr="00AF228A">
              <w:tc>
                <w:tcPr>
                  <w:tcW w:w="890" w:type="dxa"/>
                  <w:shd w:val="clear" w:color="auto" w:fill="D7E3BC"/>
                </w:tcPr>
                <w:p w14:paraId="00159289"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5.</w:t>
                  </w:r>
                </w:p>
              </w:tc>
              <w:tc>
                <w:tcPr>
                  <w:tcW w:w="3261" w:type="dxa"/>
                  <w:shd w:val="clear" w:color="auto" w:fill="D7E3BC"/>
                </w:tcPr>
                <w:p w14:paraId="56A33489"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093DFE7B" w:rsidR="008F6B19" w:rsidRPr="00286505" w:rsidRDefault="00860154" w:rsidP="00FC27FA">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F228A" w:rsidRPr="00286505">
                    <w:rPr>
                      <w:rFonts w:ascii="Times New Roman" w:hAnsi="Times New Roman" w:cs="Times New Roman"/>
                      <w:b/>
                      <w:bCs/>
                      <w:szCs w:val="24"/>
                    </w:rPr>
                    <w:t xml:space="preserve">ротягом </w:t>
                  </w:r>
                  <w:r w:rsidR="00836DA8" w:rsidRPr="004062E3">
                    <w:rPr>
                      <w:rFonts w:ascii="Times New Roman" w:hAnsi="Times New Roman" w:cs="Times New Roman"/>
                      <w:b/>
                      <w:bCs/>
                      <w:szCs w:val="24"/>
                    </w:rPr>
                    <w:t>14</w:t>
                  </w:r>
                  <w:r w:rsidR="00AF228A" w:rsidRPr="004062E3">
                    <w:rPr>
                      <w:rFonts w:ascii="Times New Roman" w:hAnsi="Times New Roman" w:cs="Times New Roman"/>
                      <w:b/>
                      <w:bCs/>
                      <w:szCs w:val="24"/>
                    </w:rPr>
                    <w:t xml:space="preserve"> </w:t>
                  </w:r>
                  <w:r w:rsidR="004062E3" w:rsidRPr="004062E3">
                    <w:rPr>
                      <w:rFonts w:ascii="Times New Roman" w:hAnsi="Times New Roman" w:cs="Times New Roman"/>
                      <w:b/>
                      <w:bCs/>
                      <w:szCs w:val="24"/>
                    </w:rPr>
                    <w:t xml:space="preserve">календарних </w:t>
                  </w:r>
                  <w:r w:rsidR="00AF228A" w:rsidRPr="004062E3">
                    <w:rPr>
                      <w:rFonts w:ascii="Times New Roman" w:hAnsi="Times New Roman" w:cs="Times New Roman"/>
                      <w:b/>
                      <w:bCs/>
                      <w:szCs w:val="24"/>
                    </w:rPr>
                    <w:t xml:space="preserve">днів </w:t>
                  </w:r>
                  <w:r w:rsidRPr="00286505">
                    <w:rPr>
                      <w:rFonts w:ascii="Times New Roman" w:hAnsi="Times New Roman" w:cs="Times New Roman"/>
                      <w:b/>
                      <w:bCs/>
                      <w:szCs w:val="24"/>
                    </w:rPr>
                    <w:t>із моменту здійснення замовлення Замовником.</w:t>
                  </w:r>
                </w:p>
              </w:tc>
            </w:tr>
            <w:tr w:rsidR="008F6B19" w:rsidRPr="00294E16" w14:paraId="7708B61C" w14:textId="77777777" w:rsidTr="000C0250">
              <w:tc>
                <w:tcPr>
                  <w:tcW w:w="890" w:type="dxa"/>
                  <w:shd w:val="clear" w:color="auto" w:fill="D7E3BC"/>
                </w:tcPr>
                <w:p w14:paraId="3EF5191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w:t>
                  </w:r>
                </w:p>
              </w:tc>
              <w:tc>
                <w:tcPr>
                  <w:tcW w:w="3261" w:type="dxa"/>
                  <w:shd w:val="clear" w:color="auto" w:fill="D7E3BC"/>
                </w:tcPr>
                <w:p w14:paraId="5BCFDCF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Умови оплати (порядок здійснення розрахунків)</w:t>
                  </w:r>
                </w:p>
              </w:tc>
              <w:tc>
                <w:tcPr>
                  <w:tcW w:w="4864" w:type="dxa"/>
                </w:tcPr>
                <w:p w14:paraId="505C1118" w14:textId="73624197" w:rsidR="008F6B19" w:rsidRPr="009A530E"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7E7045">
                    <w:rPr>
                      <w:rFonts w:ascii="Times New Roman" w:eastAsia="Times New Roman" w:hAnsi="Times New Roman" w:cs="Times New Roman"/>
                    </w:rPr>
                    <w:t>4</w:t>
                  </w:r>
                  <w:r>
                    <w:rPr>
                      <w:rFonts w:ascii="Times New Roman" w:eastAsia="Times New Roman" w:hAnsi="Times New Roman" w:cs="Times New Roman"/>
                    </w:rPr>
                    <w:t xml:space="preserve"> </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C0250">
              <w:tc>
                <w:tcPr>
                  <w:tcW w:w="890" w:type="dxa"/>
                  <w:shd w:val="clear" w:color="auto" w:fill="D7E3BC"/>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D7E3BC"/>
                </w:tcPr>
                <w:p w14:paraId="28E1E85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Подія</w:t>
                  </w:r>
                </w:p>
              </w:tc>
              <w:tc>
                <w:tcPr>
                  <w:tcW w:w="4864" w:type="dxa"/>
                </w:tcPr>
                <w:p w14:paraId="7D9A3E4B" w14:textId="0BB34FAB" w:rsidR="008F6B19" w:rsidRPr="00EF0276" w:rsidRDefault="002925FC" w:rsidP="008F6B19">
                  <w:pPr>
                    <w:spacing w:after="0" w:line="240" w:lineRule="auto"/>
                    <w:rPr>
                      <w:rFonts w:ascii="Times New Roman" w:eastAsia="Times New Roman" w:hAnsi="Times New Roman" w:cs="Times New Roman"/>
                      <w:color w:val="000000" w:themeColor="text1"/>
                    </w:rPr>
                  </w:pPr>
                  <w:r w:rsidRPr="00EF0276">
                    <w:rPr>
                      <w:rFonts w:ascii="Times New Roman" w:eastAsia="Times New Roman" w:hAnsi="Times New Roman" w:cs="Times New Roman"/>
                      <w:color w:val="000000" w:themeColor="text1"/>
                    </w:rPr>
                    <w:t>Постачання товару</w:t>
                  </w:r>
                </w:p>
              </w:tc>
            </w:tr>
            <w:tr w:rsidR="008F6B19" w:rsidRPr="00294E16" w14:paraId="7E6A06DC" w14:textId="77777777" w:rsidTr="000C0250">
              <w:tc>
                <w:tcPr>
                  <w:tcW w:w="890" w:type="dxa"/>
                  <w:shd w:val="clear" w:color="auto" w:fill="D7E3BC"/>
                </w:tcPr>
                <w:p w14:paraId="4B3FAB8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6.2.</w:t>
                  </w:r>
                </w:p>
              </w:tc>
              <w:tc>
                <w:tcPr>
                  <w:tcW w:w="3261" w:type="dxa"/>
                  <w:shd w:val="clear" w:color="auto" w:fill="D7E3BC"/>
                </w:tcPr>
                <w:p w14:paraId="64A372F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Опис</w:t>
                  </w:r>
                </w:p>
              </w:tc>
              <w:tc>
                <w:tcPr>
                  <w:tcW w:w="4864" w:type="dxa"/>
                </w:tcPr>
                <w:p w14:paraId="6D7D63C9" w14:textId="13581A42"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860154">
                    <w:rPr>
                      <w:rFonts w:ascii="Times New Roman" w:eastAsia="Times New Roman" w:hAnsi="Times New Roman" w:cs="Times New Roman"/>
                    </w:rPr>
                    <w:t>5</w:t>
                  </w:r>
                  <w:r w:rsidRPr="00977040">
                    <w:rPr>
                      <w:rFonts w:ascii="Times New Roman" w:eastAsia="Times New Roman" w:hAnsi="Times New Roman" w:cs="Times New Roman"/>
                    </w:rPr>
                    <w:t xml:space="preserve"> (</w:t>
                  </w:r>
                  <w:r w:rsidR="00860154">
                    <w:rPr>
                      <w:rFonts w:ascii="Times New Roman" w:eastAsia="Times New Roman" w:hAnsi="Times New Roman" w:cs="Times New Roman"/>
                    </w:rPr>
                    <w:t>п</w:t>
                  </w:r>
                  <w:r w:rsidR="00860154" w:rsidRPr="009A530E">
                    <w:rPr>
                      <w:rFonts w:ascii="Times New Roman" w:eastAsia="Times New Roman" w:hAnsi="Times New Roman" w:cs="Times New Roman"/>
                      <w:lang w:val="ru-RU"/>
                    </w:rPr>
                    <w:t>’</w:t>
                  </w:r>
                  <w:r w:rsidR="00860154">
                    <w:rPr>
                      <w:rFonts w:ascii="Times New Roman" w:eastAsia="Times New Roman" w:hAnsi="Times New Roman" w:cs="Times New Roman"/>
                    </w:rPr>
                    <w:t>яти</w:t>
                  </w:r>
                  <w:r w:rsidRPr="00977040">
                    <w:rPr>
                      <w:rFonts w:ascii="Times New Roman" w:eastAsia="Times New Roman" w:hAnsi="Times New Roman" w:cs="Times New Roman"/>
                    </w:rPr>
                    <w:t>) 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C0250">
              <w:tc>
                <w:tcPr>
                  <w:tcW w:w="890" w:type="dxa"/>
                  <w:shd w:val="clear" w:color="auto" w:fill="D7E3BC"/>
                </w:tcPr>
                <w:p w14:paraId="4149AFC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7.</w:t>
                  </w:r>
                </w:p>
              </w:tc>
              <w:tc>
                <w:tcPr>
                  <w:tcW w:w="3261" w:type="dxa"/>
                  <w:shd w:val="clear" w:color="auto" w:fill="D7E3BC"/>
                </w:tcPr>
                <w:p w14:paraId="42E96E43"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Очікувана вартість предмета закупівлі </w:t>
                  </w:r>
                </w:p>
              </w:tc>
              <w:tc>
                <w:tcPr>
                  <w:tcW w:w="4864" w:type="dxa"/>
                </w:tcPr>
                <w:p w14:paraId="1037DBAE" w14:textId="74C438D9" w:rsidR="008F6B19" w:rsidRPr="004062E3" w:rsidRDefault="00101932" w:rsidP="00101932">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100 000</w:t>
                  </w:r>
                  <w:r w:rsidR="000C0250" w:rsidRPr="009A530E">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sidR="004062E3">
                    <w:rPr>
                      <w:rFonts w:ascii="Times New Roman" w:eastAsia="Times New Roman" w:hAnsi="Times New Roman" w:cs="Times New Roman"/>
                      <w:color w:val="000000"/>
                      <w:szCs w:val="24"/>
                      <w:lang w:eastAsia="ru-RU"/>
                    </w:rPr>
                    <w:t xml:space="preserve">сто тисяч </w:t>
                  </w:r>
                  <w:bookmarkStart w:id="0" w:name="_GoBack"/>
                  <w:bookmarkEnd w:id="0"/>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C0250">
              <w:tc>
                <w:tcPr>
                  <w:tcW w:w="890" w:type="dxa"/>
                  <w:shd w:val="clear" w:color="auto" w:fill="D7E3BC"/>
                </w:tcPr>
                <w:p w14:paraId="199516CF"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8.</w:t>
                  </w:r>
                </w:p>
              </w:tc>
              <w:tc>
                <w:tcPr>
                  <w:tcW w:w="3261" w:type="dxa"/>
                  <w:shd w:val="clear" w:color="auto" w:fill="D7E3BC"/>
                </w:tcPr>
                <w:p w14:paraId="0798B28F"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w:t>
                  </w:r>
                  <w:r w:rsidRPr="003B20FD">
                    <w:rPr>
                      <w:rFonts w:ascii="Times New Roman" w:eastAsia="Times New Roman" w:hAnsi="Times New Roman" w:cs="Times New Roman"/>
                      <w:lang w:eastAsia="ru-RU"/>
                    </w:rPr>
                    <w:lastRenderedPageBreak/>
                    <w:t>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C0250">
              <w:tc>
                <w:tcPr>
                  <w:tcW w:w="890" w:type="dxa"/>
                  <w:shd w:val="clear" w:color="auto" w:fill="D7E3BC"/>
                </w:tcPr>
                <w:p w14:paraId="4211B9D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9.</w:t>
                  </w:r>
                </w:p>
              </w:tc>
              <w:tc>
                <w:tcPr>
                  <w:tcW w:w="3261" w:type="dxa"/>
                  <w:shd w:val="clear" w:color="auto" w:fill="D7E3BC"/>
                </w:tcPr>
                <w:p w14:paraId="3D12C7A4"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C0250">
              <w:tc>
                <w:tcPr>
                  <w:tcW w:w="890" w:type="dxa"/>
                  <w:shd w:val="clear" w:color="auto" w:fill="D7E3BC"/>
                </w:tcPr>
                <w:p w14:paraId="04F865D5"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10.</w:t>
                  </w:r>
                </w:p>
              </w:tc>
              <w:tc>
                <w:tcPr>
                  <w:tcW w:w="3261" w:type="dxa"/>
                  <w:shd w:val="clear" w:color="auto" w:fill="D7E3BC"/>
                </w:tcPr>
                <w:p w14:paraId="48674058" w14:textId="77777777" w:rsidR="00860154" w:rsidRPr="009A530E" w:rsidRDefault="00860154" w:rsidP="00860154">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w:t>
                  </w:r>
                  <w:r w:rsidRPr="00294E16">
                    <w:rPr>
                      <w:rFonts w:ascii="Times New Roman" w:eastAsia="Times New Roman" w:hAnsi="Times New Roman" w:cs="Times New Roman"/>
                    </w:rPr>
                    <w:lastRenderedPageBreak/>
                    <w:t>розглядає наступну пропозицію учасника, який за результатами оцінки надав наступну найбільш економічно вигідну пропозицію.</w:t>
                  </w:r>
                </w:p>
                <w:p w14:paraId="3C1C5100" w14:textId="34828270" w:rsidR="00860154" w:rsidRPr="00294E16" w:rsidRDefault="00860154" w:rsidP="00844527">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tc>
            </w:tr>
            <w:tr w:rsidR="00860154" w:rsidRPr="00294E16" w14:paraId="29CB64A9" w14:textId="77777777" w:rsidTr="000C0250">
              <w:tc>
                <w:tcPr>
                  <w:tcW w:w="890" w:type="dxa"/>
                  <w:shd w:val="clear" w:color="auto" w:fill="D7E3BC"/>
                </w:tcPr>
                <w:p w14:paraId="616108E7"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11.</w:t>
                  </w:r>
                </w:p>
              </w:tc>
              <w:tc>
                <w:tcPr>
                  <w:tcW w:w="3261" w:type="dxa"/>
                  <w:shd w:val="clear" w:color="auto" w:fill="D7E3BC"/>
                </w:tcPr>
                <w:p w14:paraId="629F781B"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tcPr>
                <w:p w14:paraId="1ACF9D1F" w14:textId="50B648A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0C0250">
              <w:tc>
                <w:tcPr>
                  <w:tcW w:w="890" w:type="dxa"/>
                  <w:shd w:val="clear" w:color="auto" w:fill="D7E3BC"/>
                </w:tcPr>
                <w:p w14:paraId="7AE17C49"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12.</w:t>
                  </w:r>
                </w:p>
              </w:tc>
              <w:tc>
                <w:tcPr>
                  <w:tcW w:w="3261" w:type="dxa"/>
                  <w:shd w:val="clear" w:color="auto" w:fill="D7E3BC"/>
                </w:tcPr>
                <w:p w14:paraId="3769F501"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04FCD5EB"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виконання договору про закупівлю.</w:t>
                  </w:r>
                </w:p>
              </w:tc>
            </w:tr>
            <w:tr w:rsidR="00860154" w:rsidRPr="00294E16" w14:paraId="6BDF56CE" w14:textId="77777777" w:rsidTr="00844527">
              <w:trPr>
                <w:trHeight w:val="1639"/>
              </w:trPr>
              <w:tc>
                <w:tcPr>
                  <w:tcW w:w="890" w:type="dxa"/>
                  <w:shd w:val="clear" w:color="auto" w:fill="D7E3BC"/>
                </w:tcPr>
                <w:p w14:paraId="5D766E7A"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13.</w:t>
                  </w:r>
                </w:p>
              </w:tc>
              <w:tc>
                <w:tcPr>
                  <w:tcW w:w="3261" w:type="dxa"/>
                  <w:shd w:val="clear" w:color="auto" w:fill="D7E3BC"/>
                </w:tcPr>
                <w:p w14:paraId="23792978"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3BC46EB2"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sidR="004062E3">
                    <w:rPr>
                      <w:rFonts w:ascii="Times New Roman" w:eastAsia="Times New Roman" w:hAnsi="Times New Roman" w:cs="Times New Roman"/>
                      <w:szCs w:val="24"/>
                      <w:lang w:eastAsia="ru-RU"/>
                    </w:rPr>
                    <w:t>0,5</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C0250">
              <w:trPr>
                <w:trHeight w:val="2040"/>
              </w:trPr>
              <w:tc>
                <w:tcPr>
                  <w:tcW w:w="890" w:type="dxa"/>
                  <w:shd w:val="clear" w:color="auto" w:fill="D7E3BC"/>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D7E3BC"/>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B34E80">
              <w:trPr>
                <w:trHeight w:val="2120"/>
              </w:trPr>
              <w:tc>
                <w:tcPr>
                  <w:tcW w:w="890" w:type="dxa"/>
                  <w:tcBorders>
                    <w:bottom w:val="single" w:sz="4" w:space="0" w:color="auto"/>
                  </w:tcBorders>
                  <w:shd w:val="clear" w:color="auto" w:fill="D7E3BC"/>
                </w:tcPr>
                <w:p w14:paraId="1B6CF89A" w14:textId="5CF2BC5C" w:rsidR="00860154"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3261" w:type="dxa"/>
                  <w:tcBorders>
                    <w:bottom w:val="single" w:sz="4" w:space="0" w:color="auto"/>
                  </w:tcBorders>
                  <w:shd w:val="clear" w:color="auto" w:fill="D7E3BC"/>
                </w:tcPr>
                <w:p w14:paraId="3E89F36D" w14:textId="474BB3C6" w:rsidR="00860154" w:rsidRPr="00607B95" w:rsidRDefault="00860154" w:rsidP="00860154">
                  <w:pPr>
                    <w:spacing w:after="0" w:line="240" w:lineRule="auto"/>
                    <w:jc w:val="both"/>
                    <w:rPr>
                      <w:rFonts w:ascii="Times New Roman" w:eastAsia="Times New Roman" w:hAnsi="Times New Roman" w:cs="Times New Roman"/>
                      <w:highlight w:val="yellow"/>
                    </w:rPr>
                  </w:pPr>
                  <w:r w:rsidRPr="00844527">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38EE4393"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4062E3" w:rsidRPr="004062E3">
                    <w:rPr>
                      <w:rFonts w:ascii="Times New Roman" w:eastAsia="Times New Roman" w:hAnsi="Times New Roman" w:cs="Times New Roman"/>
                      <w:b/>
                    </w:rPr>
                    <w:t>Панасюк Оксана Володимирівна</w:t>
                  </w:r>
                </w:p>
                <w:p w14:paraId="2D2245E6" w14:textId="0813DBE6" w:rsidR="009D64B9" w:rsidRPr="002560D9"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2560D9">
                    <w:rPr>
                      <w:rFonts w:ascii="Times New Roman" w:eastAsia="Times New Roman" w:hAnsi="Times New Roman" w:cs="Times New Roman"/>
                      <w:b/>
                    </w:rPr>
                    <w:t>тел. (0</w:t>
                  </w:r>
                  <w:r w:rsidRPr="002560D9">
                    <w:rPr>
                      <w:rFonts w:ascii="Times New Roman" w:eastAsia="Times New Roman" w:hAnsi="Times New Roman" w:cs="Times New Roman"/>
                      <w:b/>
                      <w:lang w:val="en-US"/>
                    </w:rPr>
                    <w:t>9</w:t>
                  </w:r>
                  <w:r w:rsidR="002560D9" w:rsidRPr="002560D9">
                    <w:rPr>
                      <w:rFonts w:ascii="Times New Roman" w:eastAsia="Times New Roman" w:hAnsi="Times New Roman" w:cs="Times New Roman"/>
                      <w:b/>
                    </w:rPr>
                    <w:t>6</w:t>
                  </w:r>
                  <w:r w:rsidRPr="002560D9">
                    <w:rPr>
                      <w:rFonts w:ascii="Times New Roman" w:eastAsia="Times New Roman" w:hAnsi="Times New Roman" w:cs="Times New Roman"/>
                      <w:b/>
                    </w:rPr>
                    <w:t>) </w:t>
                  </w:r>
                  <w:r w:rsidR="002560D9" w:rsidRPr="002560D9">
                    <w:rPr>
                      <w:rFonts w:ascii="Times New Roman" w:eastAsia="Times New Roman" w:hAnsi="Times New Roman" w:cs="Times New Roman"/>
                      <w:b/>
                    </w:rPr>
                    <w:t>896 13 61</w:t>
                  </w:r>
                  <w:r w:rsidRPr="002560D9">
                    <w:rPr>
                      <w:rFonts w:ascii="Times New Roman" w:eastAsia="Times New Roman" w:hAnsi="Times New Roman" w:cs="Times New Roman"/>
                      <w:b/>
                    </w:rPr>
                    <w:t xml:space="preserve">; </w:t>
                  </w:r>
                  <w:r w:rsidR="002560D9" w:rsidRPr="002560D9">
                    <w:rPr>
                      <w:rFonts w:ascii="Times New Roman" w:eastAsia="Times New Roman" w:hAnsi="Times New Roman" w:cs="Times New Roman"/>
                      <w:b/>
                    </w:rPr>
                    <w:t>(063) 246 18 70</w:t>
                  </w:r>
                </w:p>
                <w:p w14:paraId="4D4C8160" w14:textId="23A61481" w:rsidR="00860154" w:rsidRPr="009A209C" w:rsidRDefault="00860154" w:rsidP="00844527">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766947">
              <w:tc>
                <w:tcPr>
                  <w:tcW w:w="890" w:type="dxa"/>
                  <w:tcBorders>
                    <w:top w:val="single" w:sz="4" w:space="0" w:color="auto"/>
                  </w:tcBorders>
                  <w:shd w:val="clear" w:color="auto" w:fill="D7E3BC"/>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D7E3BC"/>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629C543D"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Учасник має право внести зміни або відкликати свою пропозицію до закінчення строку її подання без втрати </w:t>
                  </w:r>
                  <w:r w:rsidR="004062E3">
                    <w:rPr>
                      <w:rFonts w:ascii="Times New Roman" w:eastAsia="Times New Roman" w:hAnsi="Times New Roman" w:cs="Times New Roman"/>
                    </w:rPr>
                    <w:t>свого забезпечення пропозиції (</w:t>
                  </w:r>
                  <w:r w:rsidRPr="00294E16">
                    <w:rPr>
                      <w:rFonts w:ascii="Times New Roman" w:eastAsia="Times New Roman" w:hAnsi="Times New Roman" w:cs="Times New Roman"/>
                    </w:rPr>
                    <w:t>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0C0250">
              <w:tc>
                <w:tcPr>
                  <w:tcW w:w="890" w:type="dxa"/>
                  <w:shd w:val="clear" w:color="auto" w:fill="D7E3BC"/>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lastRenderedPageBreak/>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0C0250">
              <w:tc>
                <w:tcPr>
                  <w:tcW w:w="890" w:type="dxa"/>
                  <w:shd w:val="clear" w:color="auto" w:fill="D7E3BC"/>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0C0250">
              <w:tc>
                <w:tcPr>
                  <w:tcW w:w="890" w:type="dxa"/>
                  <w:shd w:val="clear" w:color="auto" w:fill="D7E3BC"/>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0C0250">
              <w:tc>
                <w:tcPr>
                  <w:tcW w:w="890" w:type="dxa"/>
                  <w:shd w:val="clear" w:color="auto" w:fill="D7E3BC"/>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0C0250">
              <w:tc>
                <w:tcPr>
                  <w:tcW w:w="890" w:type="dxa"/>
                  <w:shd w:val="clear" w:color="auto" w:fill="D7E3BC"/>
                </w:tcPr>
                <w:p w14:paraId="4669C22D" w14:textId="152D6DD4"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624B0D51"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w:t>
                  </w:r>
                  <w:r w:rsidRPr="00294E16">
                    <w:rPr>
                      <w:rFonts w:ascii="Times New Roman" w:eastAsia="Times New Roman" w:hAnsi="Times New Roman" w:cs="Times New Roman"/>
                    </w:rPr>
                    <w:lastRenderedPageBreak/>
                    <w:t xml:space="preserve">документа </w:t>
                  </w:r>
                  <w:r w:rsidR="00C452E3">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0C0250">
              <w:tc>
                <w:tcPr>
                  <w:tcW w:w="890" w:type="dxa"/>
                  <w:shd w:val="clear" w:color="auto" w:fill="D7E3BC"/>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4A29AD">
              <w:tc>
                <w:tcPr>
                  <w:tcW w:w="890" w:type="dxa"/>
                  <w:shd w:val="clear" w:color="auto" w:fill="D7E3BC"/>
                </w:tcPr>
                <w:p w14:paraId="10543320" w14:textId="4B2F778B" w:rsidR="00860154" w:rsidRPr="004A29AD" w:rsidRDefault="00860154" w:rsidP="00860154">
                  <w:pPr>
                    <w:spacing w:after="0" w:line="240" w:lineRule="auto"/>
                    <w:rPr>
                      <w:rFonts w:ascii="Times New Roman" w:hAnsi="Times New Roman"/>
                    </w:rPr>
                  </w:pPr>
                  <w:r>
                    <w:rPr>
                      <w:rFonts w:ascii="Times New Roman" w:hAnsi="Times New Roman"/>
                    </w:rPr>
                    <w:t>1.</w:t>
                  </w:r>
                </w:p>
              </w:tc>
              <w:tc>
                <w:tcPr>
                  <w:tcW w:w="3261" w:type="dxa"/>
                  <w:shd w:val="clear" w:color="auto" w:fill="D7E3BC"/>
                </w:tcPr>
                <w:p w14:paraId="093A0E1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4A29AD">
              <w:tc>
                <w:tcPr>
                  <w:tcW w:w="890" w:type="dxa"/>
                  <w:shd w:val="clear" w:color="auto" w:fill="D7E3BC"/>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D7E3BC"/>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0C0250">
              <w:tc>
                <w:tcPr>
                  <w:tcW w:w="890" w:type="dxa"/>
                  <w:shd w:val="clear" w:color="auto" w:fill="D7E3BC"/>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D7E3BC"/>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0C0250">
              <w:tc>
                <w:tcPr>
                  <w:tcW w:w="890" w:type="dxa"/>
                  <w:shd w:val="clear" w:color="auto" w:fill="D7E3BC"/>
                </w:tcPr>
                <w:p w14:paraId="76AECE17" w14:textId="2B327948" w:rsidR="00860154" w:rsidRPr="004A29AD" w:rsidRDefault="005C36DC" w:rsidP="00860154">
                  <w:pPr>
                    <w:spacing w:after="0" w:line="240" w:lineRule="auto"/>
                    <w:rPr>
                      <w:rFonts w:ascii="Times New Roman" w:hAnsi="Times New Roman"/>
                    </w:rPr>
                  </w:pPr>
                  <w:r>
                    <w:rPr>
                      <w:rFonts w:ascii="Times New Roman" w:hAnsi="Times New Roman"/>
                    </w:rPr>
                    <w:lastRenderedPageBreak/>
                    <w:t>4</w:t>
                  </w:r>
                  <w:r w:rsidR="00860154">
                    <w:rPr>
                      <w:rFonts w:ascii="Times New Roman" w:hAnsi="Times New Roman"/>
                    </w:rPr>
                    <w:t>.</w:t>
                  </w:r>
                </w:p>
              </w:tc>
              <w:tc>
                <w:tcPr>
                  <w:tcW w:w="3261" w:type="dxa"/>
                  <w:shd w:val="clear" w:color="auto" w:fill="D7E3BC"/>
                </w:tcPr>
                <w:p w14:paraId="2B25378D"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2FF9EC1F"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7E7045">
                    <w:rPr>
                      <w:rFonts w:ascii="Times New Roman" w:eastAsia="Times New Roman" w:hAnsi="Times New Roman" w:cs="Times New Roman"/>
                      <w:b/>
                      <w:bCs/>
                      <w:i/>
                    </w:rPr>
                    <w:t>4</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 xml:space="preserve">До розрахунку ціни пропозиції закупівлі не включаються будь-які витрати, понесені </w:t>
                  </w:r>
                  <w:r w:rsidRPr="00294E16">
                    <w:rPr>
                      <w:rFonts w:ascii="Times New Roman" w:eastAsia="Times New Roman" w:hAnsi="Times New Roman" w:cs="Times New Roman"/>
                    </w:rPr>
                    <w:lastRenderedPageBreak/>
                    <w:t>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6EB16DDF" w:rsidR="00860154" w:rsidRPr="00F14478" w:rsidRDefault="00860154" w:rsidP="00216CC5">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w:t>
                  </w:r>
                  <w:r w:rsidR="00216CC5">
                    <w:rPr>
                      <w:rFonts w:ascii="Times New Roman" w:hAnsi="Times New Roman" w:cs="Times New Roman"/>
                    </w:rPr>
                    <w:t>раїни “Про публічні закупівлі”</w:t>
                  </w:r>
                </w:p>
              </w:tc>
            </w:tr>
            <w:tr w:rsidR="00860154" w:rsidRPr="00294E16" w14:paraId="304FEB26" w14:textId="77777777" w:rsidTr="00A65498">
              <w:trPr>
                <w:trHeight w:val="11189"/>
              </w:trPr>
              <w:tc>
                <w:tcPr>
                  <w:tcW w:w="890" w:type="dxa"/>
                  <w:shd w:val="clear" w:color="auto" w:fill="D7E3BC"/>
                </w:tcPr>
                <w:p w14:paraId="63C9405D" w14:textId="629D876C" w:rsidR="00860154" w:rsidRPr="004A29AD" w:rsidRDefault="005C36DC" w:rsidP="00860154">
                  <w:pPr>
                    <w:spacing w:after="0" w:line="240" w:lineRule="auto"/>
                    <w:rPr>
                      <w:rFonts w:ascii="Times New Roman" w:hAnsi="Times New Roman"/>
                    </w:rPr>
                  </w:pPr>
                  <w:r>
                    <w:rPr>
                      <w:rFonts w:ascii="Times New Roman" w:hAnsi="Times New Roman"/>
                    </w:rPr>
                    <w:lastRenderedPageBreak/>
                    <w:t>5</w:t>
                  </w:r>
                  <w:r w:rsidR="00860154">
                    <w:rPr>
                      <w:rFonts w:ascii="Times New Roman" w:hAnsi="Times New Roman"/>
                    </w:rPr>
                    <w:t>.</w:t>
                  </w:r>
                </w:p>
              </w:tc>
              <w:tc>
                <w:tcPr>
                  <w:tcW w:w="3261" w:type="dxa"/>
                  <w:shd w:val="clear" w:color="auto" w:fill="D7E3BC"/>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4905560A"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№1</w:t>
                  </w:r>
                  <w:r w:rsidR="003F268D">
                    <w:rPr>
                      <w:rFonts w:ascii="Times New Roman" w:eastAsia="Times New Roman" w:hAnsi="Times New Roman" w:cs="Times New Roman"/>
                    </w:rPr>
                    <w:t xml:space="preserve"> </w:t>
                  </w:r>
                  <w:r w:rsidRPr="00F363F2">
                    <w:rPr>
                      <w:rFonts w:ascii="Times New Roman" w:eastAsia="Times New Roman" w:hAnsi="Times New Roman" w:cs="Times New Roman"/>
                    </w:rPr>
                    <w:t>– Інформація про технічні, якісні та інші характеристики предмета закупівлі</w:t>
                  </w:r>
                  <w:r w:rsidRPr="009A530E">
                    <w:rPr>
                      <w:rFonts w:ascii="Times New Roman" w:eastAsia="Times New Roman" w:hAnsi="Times New Roman" w:cs="Times New Roman"/>
                      <w:lang w:val="ru-RU"/>
                    </w:rPr>
                    <w:t>;</w:t>
                  </w:r>
                </w:p>
                <w:p w14:paraId="7617CA26"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w:t>
                  </w:r>
                  <w:r w:rsidRPr="009A530E">
                    <w:rPr>
                      <w:rFonts w:ascii="Times New Roman" w:eastAsia="Times New Roman" w:hAnsi="Times New Roman" w:cs="Times New Roman"/>
                      <w:b/>
                      <w:lang w:val="ru-RU"/>
                    </w:rPr>
                    <w:t>2</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 xml:space="preserve">– </w:t>
                  </w:r>
                  <w:r w:rsidR="003F268D" w:rsidRPr="003F268D">
                    <w:rPr>
                      <w:rFonts w:ascii="Times New Roman" w:eastAsia="Times New Roman" w:hAnsi="Times New Roman" w:cs="Times New Roman"/>
                    </w:rPr>
                    <w:t>Перелік документів, які учасники закупівлі повинні подати у складі своїх пропозицій</w:t>
                  </w:r>
                  <w:r w:rsidRPr="003F268D">
                    <w:rPr>
                      <w:rFonts w:ascii="Times New Roman" w:eastAsia="Times New Roman" w:hAnsi="Times New Roman" w:cs="Times New Roman"/>
                    </w:rPr>
                    <w:t>;</w:t>
                  </w:r>
                </w:p>
                <w:p w14:paraId="079C85EB" w14:textId="6DEA3846" w:rsidR="00395158" w:rsidRPr="00395158" w:rsidRDefault="003F268D" w:rsidP="0039515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9A530E">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Pr="009A530E">
                    <w:rPr>
                      <w:rFonts w:ascii="Times New Roman" w:eastAsia="Times New Roman" w:hAnsi="Times New Roman" w:cs="Times New Roman"/>
                      <w:lang w:val="ru-RU"/>
                    </w:rPr>
                    <w:t>;</w:t>
                  </w:r>
                </w:p>
                <w:p w14:paraId="20512276" w14:textId="48337855" w:rsidR="001B1A10" w:rsidRPr="00395158" w:rsidRDefault="003F268D" w:rsidP="00860154">
                  <w:pPr>
                    <w:rPr>
                      <w:rFonts w:ascii="Times New Roman" w:eastAsia="Times New Roman" w:hAnsi="Times New Roman" w:cs="Times New Roman"/>
                    </w:rPr>
                  </w:pPr>
                  <w:r w:rsidRPr="00395158">
                    <w:rPr>
                      <w:rFonts w:ascii="Times New Roman" w:eastAsia="Times New Roman" w:hAnsi="Times New Roman" w:cs="Times New Roman"/>
                      <w:b/>
                    </w:rPr>
                    <w:t>Додаток №4</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9A530E">
                    <w:rPr>
                      <w:rFonts w:ascii="Times New Roman" w:eastAsia="Times New Roman" w:hAnsi="Times New Roman" w:cs="Times New Roman"/>
                      <w:lang w:val="ru-RU"/>
                    </w:rPr>
                    <w:t>;</w:t>
                  </w: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543235">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8160" w14:textId="77777777" w:rsidR="00CE7558" w:rsidRDefault="00CE7558" w:rsidP="007D0B09">
      <w:pPr>
        <w:spacing w:after="0" w:line="240" w:lineRule="auto"/>
      </w:pPr>
      <w:r>
        <w:separator/>
      </w:r>
    </w:p>
  </w:endnote>
  <w:endnote w:type="continuationSeparator" w:id="0">
    <w:p w14:paraId="1139D499" w14:textId="77777777" w:rsidR="00CE7558" w:rsidRDefault="00CE7558"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C0CA" w14:textId="77777777" w:rsidR="00CE7558" w:rsidRDefault="00CE7558" w:rsidP="007D0B09">
      <w:pPr>
        <w:spacing w:after="0" w:line="240" w:lineRule="auto"/>
      </w:pPr>
      <w:r>
        <w:separator/>
      </w:r>
    </w:p>
  </w:footnote>
  <w:footnote w:type="continuationSeparator" w:id="0">
    <w:p w14:paraId="322E9B63" w14:textId="77777777" w:rsidR="00CE7558" w:rsidRDefault="00CE7558"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19"/>
    <w:rsid w:val="000102BC"/>
    <w:rsid w:val="00064AC0"/>
    <w:rsid w:val="000729AD"/>
    <w:rsid w:val="000A10EE"/>
    <w:rsid w:val="000C0250"/>
    <w:rsid w:val="000E5410"/>
    <w:rsid w:val="000F1FC4"/>
    <w:rsid w:val="00101932"/>
    <w:rsid w:val="001229F6"/>
    <w:rsid w:val="00133787"/>
    <w:rsid w:val="001721FE"/>
    <w:rsid w:val="00174990"/>
    <w:rsid w:val="00185B18"/>
    <w:rsid w:val="001B1A10"/>
    <w:rsid w:val="001C0D77"/>
    <w:rsid w:val="001E3B0F"/>
    <w:rsid w:val="00207456"/>
    <w:rsid w:val="00216CC5"/>
    <w:rsid w:val="00224523"/>
    <w:rsid w:val="0024702F"/>
    <w:rsid w:val="002560D9"/>
    <w:rsid w:val="00264A8F"/>
    <w:rsid w:val="00286505"/>
    <w:rsid w:val="002925FC"/>
    <w:rsid w:val="0029647C"/>
    <w:rsid w:val="002A2A97"/>
    <w:rsid w:val="002B4DE2"/>
    <w:rsid w:val="002B610B"/>
    <w:rsid w:val="002E1FE1"/>
    <w:rsid w:val="002E433A"/>
    <w:rsid w:val="002F7192"/>
    <w:rsid w:val="00302D81"/>
    <w:rsid w:val="00351827"/>
    <w:rsid w:val="00376DD9"/>
    <w:rsid w:val="00395158"/>
    <w:rsid w:val="003E3C33"/>
    <w:rsid w:val="003E772E"/>
    <w:rsid w:val="003F268D"/>
    <w:rsid w:val="004062E3"/>
    <w:rsid w:val="0048424D"/>
    <w:rsid w:val="004867BB"/>
    <w:rsid w:val="00490AB4"/>
    <w:rsid w:val="00491010"/>
    <w:rsid w:val="00497525"/>
    <w:rsid w:val="004A29AD"/>
    <w:rsid w:val="004B7337"/>
    <w:rsid w:val="004C2E6B"/>
    <w:rsid w:val="004D1105"/>
    <w:rsid w:val="004D2383"/>
    <w:rsid w:val="004D5178"/>
    <w:rsid w:val="00543235"/>
    <w:rsid w:val="00550B1F"/>
    <w:rsid w:val="005625E6"/>
    <w:rsid w:val="005745CC"/>
    <w:rsid w:val="0059620C"/>
    <w:rsid w:val="005A3E6E"/>
    <w:rsid w:val="005A5D21"/>
    <w:rsid w:val="005B6DFF"/>
    <w:rsid w:val="005C36DC"/>
    <w:rsid w:val="005D3B29"/>
    <w:rsid w:val="00605B80"/>
    <w:rsid w:val="00607B95"/>
    <w:rsid w:val="00612767"/>
    <w:rsid w:val="0061398C"/>
    <w:rsid w:val="00623434"/>
    <w:rsid w:val="00655BFC"/>
    <w:rsid w:val="006A1A7C"/>
    <w:rsid w:val="006D10A8"/>
    <w:rsid w:val="006D709C"/>
    <w:rsid w:val="006E082D"/>
    <w:rsid w:val="00717DEB"/>
    <w:rsid w:val="00726399"/>
    <w:rsid w:val="00745061"/>
    <w:rsid w:val="00752390"/>
    <w:rsid w:val="007603FE"/>
    <w:rsid w:val="00761372"/>
    <w:rsid w:val="00766947"/>
    <w:rsid w:val="00782E0E"/>
    <w:rsid w:val="007C3649"/>
    <w:rsid w:val="007C6971"/>
    <w:rsid w:val="007D0B09"/>
    <w:rsid w:val="007E7045"/>
    <w:rsid w:val="008216C2"/>
    <w:rsid w:val="00836DA8"/>
    <w:rsid w:val="00844527"/>
    <w:rsid w:val="00860154"/>
    <w:rsid w:val="008B7E73"/>
    <w:rsid w:val="008C14B8"/>
    <w:rsid w:val="008C446E"/>
    <w:rsid w:val="008D3444"/>
    <w:rsid w:val="008F310B"/>
    <w:rsid w:val="008F6B19"/>
    <w:rsid w:val="0090366B"/>
    <w:rsid w:val="00942120"/>
    <w:rsid w:val="00951E15"/>
    <w:rsid w:val="00975DFD"/>
    <w:rsid w:val="009906BC"/>
    <w:rsid w:val="00992EDC"/>
    <w:rsid w:val="009937ED"/>
    <w:rsid w:val="009A209C"/>
    <w:rsid w:val="009A530E"/>
    <w:rsid w:val="009C60F7"/>
    <w:rsid w:val="009D64B9"/>
    <w:rsid w:val="00A0659F"/>
    <w:rsid w:val="00A16129"/>
    <w:rsid w:val="00A262A1"/>
    <w:rsid w:val="00A31C51"/>
    <w:rsid w:val="00A3201D"/>
    <w:rsid w:val="00A47F0F"/>
    <w:rsid w:val="00A65498"/>
    <w:rsid w:val="00A72981"/>
    <w:rsid w:val="00AB370B"/>
    <w:rsid w:val="00AD4400"/>
    <w:rsid w:val="00AF228A"/>
    <w:rsid w:val="00B02E37"/>
    <w:rsid w:val="00B064C1"/>
    <w:rsid w:val="00B11832"/>
    <w:rsid w:val="00B34E80"/>
    <w:rsid w:val="00B74CB1"/>
    <w:rsid w:val="00BA3D9D"/>
    <w:rsid w:val="00BC229A"/>
    <w:rsid w:val="00BE6B59"/>
    <w:rsid w:val="00C45267"/>
    <w:rsid w:val="00C452E3"/>
    <w:rsid w:val="00CA3B43"/>
    <w:rsid w:val="00CD422F"/>
    <w:rsid w:val="00CE7558"/>
    <w:rsid w:val="00CF6BDE"/>
    <w:rsid w:val="00D13337"/>
    <w:rsid w:val="00D25D1A"/>
    <w:rsid w:val="00D90ADE"/>
    <w:rsid w:val="00D91871"/>
    <w:rsid w:val="00DA1BA7"/>
    <w:rsid w:val="00DA6842"/>
    <w:rsid w:val="00DB2211"/>
    <w:rsid w:val="00DC202C"/>
    <w:rsid w:val="00DC3589"/>
    <w:rsid w:val="00E3069A"/>
    <w:rsid w:val="00E35E22"/>
    <w:rsid w:val="00E50465"/>
    <w:rsid w:val="00E8381E"/>
    <w:rsid w:val="00EB291C"/>
    <w:rsid w:val="00EC5E06"/>
    <w:rsid w:val="00EC68BC"/>
    <w:rsid w:val="00EE02D7"/>
    <w:rsid w:val="00EF0276"/>
    <w:rsid w:val="00F0084D"/>
    <w:rsid w:val="00F14478"/>
    <w:rsid w:val="00F17BD0"/>
    <w:rsid w:val="00F17BF4"/>
    <w:rsid w:val="00F363F2"/>
    <w:rsid w:val="00F36FDB"/>
    <w:rsid w:val="00F37F45"/>
    <w:rsid w:val="00F45C93"/>
    <w:rsid w:val="00F479BF"/>
    <w:rsid w:val="00F75D7E"/>
    <w:rsid w:val="00FB3973"/>
    <w:rsid w:val="00FB39E5"/>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07E4AAD6-8F39-4311-85B4-11EC926F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B633-1DA1-4702-AE2B-921B7471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19643</Words>
  <Characters>11198</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Іра</cp:lastModifiedBy>
  <cp:revision>3</cp:revision>
  <dcterms:created xsi:type="dcterms:W3CDTF">2024-04-11T07:35:00Z</dcterms:created>
  <dcterms:modified xsi:type="dcterms:W3CDTF">2024-04-11T07:37:00Z</dcterms:modified>
</cp:coreProperties>
</file>