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21EC" w14:textId="77777777" w:rsidR="00C15989" w:rsidRPr="00745BCB" w:rsidRDefault="00575310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745BC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Додаток </w:t>
      </w:r>
      <w:r w:rsidR="00C15989" w:rsidRPr="00745BC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1 до тендерної документації</w:t>
      </w:r>
    </w:p>
    <w:p w14:paraId="3A9A53AB" w14:textId="77777777" w:rsidR="00C15989" w:rsidRPr="00745BCB" w:rsidRDefault="00C15989" w:rsidP="00C15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3FD9056" w14:textId="77777777" w:rsidR="0033035C" w:rsidRPr="00745BCB" w:rsidRDefault="0033035C" w:rsidP="0033035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5BCB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(технічна специфікація)*</w:t>
      </w:r>
    </w:p>
    <w:p w14:paraId="41971C4B" w14:textId="77777777" w:rsidR="0033035C" w:rsidRPr="00745BCB" w:rsidRDefault="0033035C" w:rsidP="005D77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25360C" w14:textId="504A54BA" w:rsidR="0033035C" w:rsidRPr="00745BCB" w:rsidRDefault="005704FF" w:rsidP="005D77D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bookmarkStart w:id="0" w:name="_Hlk116047497"/>
      <w:r w:rsidRPr="00745BCB">
        <w:rPr>
          <w:rFonts w:ascii="Times New Roman" w:hAnsi="Times New Roman"/>
          <w:bCs/>
          <w:sz w:val="24"/>
          <w:szCs w:val="24"/>
        </w:rPr>
        <w:t xml:space="preserve">ДК 021:2015, код 33600000-6 «Фармацевтична продукція». (Лот 1 -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Metamizole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sodium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Paracetamol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Magnesium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sulfate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Bupivacaine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Bupivacaine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Procaine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Electrolytes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Piperacillin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beta-lactamase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inhibitor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. Лот 2 –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Omeprazole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Oxytocin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Drotaverine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Diclofenac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Dexamethasone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Cyanocobalamin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45BCB">
        <w:rPr>
          <w:rFonts w:ascii="Times New Roman" w:hAnsi="Times New Roman"/>
          <w:bCs/>
          <w:sz w:val="24"/>
          <w:szCs w:val="24"/>
        </w:rPr>
        <w:t>Norepinephrine</w:t>
      </w:r>
      <w:proofErr w:type="spellEnd"/>
      <w:r w:rsidRPr="00745BCB">
        <w:rPr>
          <w:rFonts w:ascii="Times New Roman" w:hAnsi="Times New Roman"/>
          <w:bCs/>
          <w:sz w:val="24"/>
          <w:szCs w:val="24"/>
        </w:rPr>
        <w:t>.)</w:t>
      </w:r>
    </w:p>
    <w:bookmarkEnd w:id="0"/>
    <w:p w14:paraId="37E5E244" w14:textId="77777777" w:rsidR="00526104" w:rsidRPr="00745BCB" w:rsidRDefault="00526104" w:rsidP="00780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FD3B2C" w14:textId="6E01D561" w:rsidR="00526104" w:rsidRPr="00745BCB" w:rsidRDefault="00526104" w:rsidP="00780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b/>
          <w:sz w:val="24"/>
          <w:szCs w:val="24"/>
        </w:rPr>
        <w:t xml:space="preserve">1. Запропоновані учасником товари </w:t>
      </w:r>
      <w:r w:rsidR="00F53B09" w:rsidRPr="00745BCB">
        <w:rPr>
          <w:rFonts w:ascii="Times New Roman" w:hAnsi="Times New Roman"/>
          <w:b/>
          <w:sz w:val="24"/>
          <w:szCs w:val="24"/>
        </w:rPr>
        <w:t xml:space="preserve">щодо всіх окремих частин предмета закупівлі </w:t>
      </w:r>
      <w:r w:rsidRPr="00745BCB">
        <w:rPr>
          <w:rFonts w:ascii="Times New Roman" w:hAnsi="Times New Roman"/>
          <w:b/>
          <w:sz w:val="24"/>
          <w:szCs w:val="24"/>
        </w:rPr>
        <w:t>повинні відповідати наступним медико-технічним та якісним вимогам</w:t>
      </w:r>
      <w:r w:rsidRPr="00745BCB">
        <w:rPr>
          <w:rFonts w:ascii="Times New Roman" w:hAnsi="Times New Roman"/>
          <w:sz w:val="24"/>
          <w:szCs w:val="24"/>
        </w:rPr>
        <w:t>:</w:t>
      </w:r>
    </w:p>
    <w:p w14:paraId="7AD3F08E" w14:textId="77777777" w:rsidR="00526104" w:rsidRPr="00745BCB" w:rsidRDefault="00526104" w:rsidP="00780936">
      <w:pPr>
        <w:tabs>
          <w:tab w:val="left" w:pos="0"/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sz w:val="24"/>
          <w:szCs w:val="24"/>
        </w:rPr>
        <w:t>1.1. Товар має бути належним чином зареєстровані в Україні у передбаченому законодавством порядку та відповідати національним та/або міжнародним стандартам.</w:t>
      </w:r>
    </w:p>
    <w:p w14:paraId="2FC0752B" w14:textId="77777777" w:rsidR="00526104" w:rsidRPr="00745BCB" w:rsidRDefault="00526104" w:rsidP="00780936">
      <w:pPr>
        <w:tabs>
          <w:tab w:val="left" w:pos="0"/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sz w:val="24"/>
          <w:szCs w:val="24"/>
        </w:rPr>
        <w:t xml:space="preserve">1.2. Поставка лікарських засобів здійснюється за рахунок Учасника згідно заявки замовника. Учасник повинен мати усі необхідні дозволи на право реалізації в заклади охорони здоров'я та поставляти товар з документальним підтвердженням відповідності лікарського засобу, а саме: копії реєстраційних посвідчень або копії </w:t>
      </w:r>
      <w:proofErr w:type="spellStart"/>
      <w:r w:rsidRPr="00745BCB">
        <w:rPr>
          <w:rFonts w:ascii="Times New Roman" w:hAnsi="Times New Roman"/>
          <w:sz w:val="24"/>
          <w:szCs w:val="24"/>
        </w:rPr>
        <w:t>свідоцтв</w:t>
      </w:r>
      <w:proofErr w:type="spellEnd"/>
      <w:r w:rsidRPr="00745BCB">
        <w:rPr>
          <w:rFonts w:ascii="Times New Roman" w:hAnsi="Times New Roman"/>
          <w:sz w:val="24"/>
          <w:szCs w:val="24"/>
        </w:rPr>
        <w:t xml:space="preserve"> про державну реєстрацію; копії сертифікатів якості кожної серії лікарського засобу щодо дозування, лікарської форми, номер серії, кількості, назви виробника лікарського засобу, а також видаткові накладні.</w:t>
      </w:r>
    </w:p>
    <w:p w14:paraId="055BB696" w14:textId="77777777" w:rsidR="00526104" w:rsidRPr="00745BCB" w:rsidRDefault="00526104" w:rsidP="00780936">
      <w:pPr>
        <w:tabs>
          <w:tab w:val="left" w:pos="0"/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sz w:val="24"/>
          <w:szCs w:val="24"/>
        </w:rPr>
        <w:t>1.3. Форма випуску, дозування та інші параметри  повинні відповідати таким, які зазначені у цьому додатку до тендерної документації.</w:t>
      </w:r>
    </w:p>
    <w:p w14:paraId="2A78424E" w14:textId="77777777" w:rsidR="00526104" w:rsidRPr="00745BCB" w:rsidRDefault="00526104" w:rsidP="00780936">
      <w:pPr>
        <w:tabs>
          <w:tab w:val="left" w:pos="142"/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sz w:val="24"/>
          <w:szCs w:val="24"/>
        </w:rPr>
        <w:t>1.4. Постачальник повинен забезпечувати належні умови зберігання та транспортування лікарських засобів з дотриманням умов «холодового ланцюга». Тара та упаковка повинна відповідати вимогам, встановленим до даного виду товару і захищати лікарській засіб від пошкоджень, псування під час перевезення.</w:t>
      </w:r>
    </w:p>
    <w:p w14:paraId="62946B72" w14:textId="77777777" w:rsidR="00526104" w:rsidRPr="00745BCB" w:rsidRDefault="00526104" w:rsidP="00780936">
      <w:pPr>
        <w:tabs>
          <w:tab w:val="left" w:pos="142"/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sz w:val="24"/>
          <w:szCs w:val="24"/>
        </w:rPr>
        <w:t>1.5. Термін придатності лікарських засобів на момент поставки товару повинен бути не менше 70% від загального строку придатності визначеного виробником.</w:t>
      </w:r>
    </w:p>
    <w:p w14:paraId="1967A635" w14:textId="4803434B" w:rsidR="005704FF" w:rsidRPr="00745BCB" w:rsidRDefault="00526104" w:rsidP="00780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sz w:val="24"/>
          <w:szCs w:val="24"/>
        </w:rPr>
        <w:t xml:space="preserve">1.6. У разі якщо товар виявляється неякісним, фальсифікованим та незареєстрованим згідно інформаційного листа </w:t>
      </w:r>
      <w:proofErr w:type="spellStart"/>
      <w:r w:rsidRPr="00745BCB">
        <w:rPr>
          <w:rFonts w:ascii="Times New Roman" w:hAnsi="Times New Roman"/>
          <w:sz w:val="24"/>
          <w:szCs w:val="24"/>
        </w:rPr>
        <w:t>Держінспекції</w:t>
      </w:r>
      <w:proofErr w:type="spellEnd"/>
      <w:r w:rsidRPr="00745BCB">
        <w:rPr>
          <w:rFonts w:ascii="Times New Roman" w:hAnsi="Times New Roman"/>
          <w:sz w:val="24"/>
          <w:szCs w:val="24"/>
        </w:rPr>
        <w:t xml:space="preserve"> з контролю якості лікарських засобів, то заміна, повернення, знищення проводиться за рахунок Учасника.</w:t>
      </w:r>
    </w:p>
    <w:p w14:paraId="7780254E" w14:textId="797B5041" w:rsidR="00780936" w:rsidRPr="00745BCB" w:rsidRDefault="00780936" w:rsidP="0078093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45BCB">
        <w:rPr>
          <w:rFonts w:ascii="Times New Roman" w:hAnsi="Times New Roman"/>
          <w:b/>
          <w:sz w:val="24"/>
          <w:szCs w:val="24"/>
        </w:rPr>
        <w:t xml:space="preserve">2. Місце поставки: </w:t>
      </w:r>
      <w:r w:rsidR="00454E09" w:rsidRPr="00745BCB">
        <w:rPr>
          <w:rFonts w:ascii="Times New Roman" w:hAnsi="Times New Roman"/>
          <w:sz w:val="24"/>
          <w:szCs w:val="24"/>
        </w:rPr>
        <w:t>Україна, 22100, Вінницька обл., місто Козятин, вул. Винниченка, будинок 9.</w:t>
      </w:r>
    </w:p>
    <w:p w14:paraId="0A242404" w14:textId="1B81CED7" w:rsidR="00780936" w:rsidRPr="00745BCB" w:rsidRDefault="00780936" w:rsidP="00780936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745BCB">
        <w:rPr>
          <w:rFonts w:ascii="Times New Roman" w:hAnsi="Times New Roman"/>
          <w:b/>
          <w:sz w:val="24"/>
          <w:szCs w:val="24"/>
        </w:rPr>
        <w:t xml:space="preserve">3. Умови зберігання та поставки: </w:t>
      </w:r>
      <w:r w:rsidRPr="00745BCB">
        <w:rPr>
          <w:rFonts w:ascii="Times New Roman" w:hAnsi="Times New Roman"/>
          <w:bCs/>
          <w:sz w:val="24"/>
          <w:szCs w:val="24"/>
        </w:rPr>
        <w:t>Зберігати у захищеному від світла місці при температурі від 2 °С до 8 °С. Заморожування та нагрівання вище 18 ºС не допускається. Транспортування з обов’язковим дотриманням «Холодового ланцюга»</w:t>
      </w:r>
      <w:r w:rsidR="00454E09" w:rsidRPr="00745BCB">
        <w:rPr>
          <w:rFonts w:ascii="Times New Roman" w:hAnsi="Times New Roman"/>
          <w:bCs/>
          <w:sz w:val="24"/>
          <w:szCs w:val="24"/>
        </w:rPr>
        <w:t xml:space="preserve"> </w:t>
      </w:r>
      <w:r w:rsidR="009A1A44" w:rsidRPr="00745BCB">
        <w:rPr>
          <w:rFonts w:ascii="Times New Roman" w:hAnsi="Times New Roman"/>
          <w:bCs/>
          <w:sz w:val="24"/>
          <w:szCs w:val="24"/>
        </w:rPr>
        <w:t>(</w:t>
      </w:r>
      <w:r w:rsidR="00454E09" w:rsidRPr="00745BCB">
        <w:rPr>
          <w:rFonts w:ascii="Times New Roman" w:hAnsi="Times New Roman"/>
          <w:bCs/>
          <w:i/>
          <w:iCs/>
          <w:sz w:val="24"/>
          <w:szCs w:val="24"/>
        </w:rPr>
        <w:t>у разі потреби</w:t>
      </w:r>
      <w:r w:rsidR="00790DEA" w:rsidRPr="00745BCB">
        <w:rPr>
          <w:rFonts w:ascii="Times New Roman" w:hAnsi="Times New Roman"/>
          <w:bCs/>
          <w:i/>
          <w:iCs/>
          <w:sz w:val="24"/>
          <w:szCs w:val="24"/>
        </w:rPr>
        <w:t xml:space="preserve"> відповідного лікарського засобу</w:t>
      </w:r>
      <w:r w:rsidR="009A1A44" w:rsidRPr="00745BCB">
        <w:rPr>
          <w:rFonts w:ascii="Times New Roman" w:hAnsi="Times New Roman"/>
          <w:bCs/>
          <w:sz w:val="24"/>
          <w:szCs w:val="24"/>
        </w:rPr>
        <w:t>)</w:t>
      </w:r>
      <w:r w:rsidRPr="00745BCB">
        <w:rPr>
          <w:rFonts w:ascii="Times New Roman" w:hAnsi="Times New Roman"/>
          <w:bCs/>
          <w:sz w:val="24"/>
          <w:szCs w:val="24"/>
        </w:rPr>
        <w:t xml:space="preserve">. </w:t>
      </w:r>
    </w:p>
    <w:p w14:paraId="00B0A685" w14:textId="7A1EB73C" w:rsidR="00B8191E" w:rsidRPr="00745BCB" w:rsidRDefault="00B8191E" w:rsidP="00B8191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45BCB">
        <w:rPr>
          <w:rFonts w:ascii="Times New Roman" w:hAnsi="Times New Roman"/>
          <w:b/>
          <w:sz w:val="24"/>
          <w:szCs w:val="24"/>
        </w:rPr>
        <w:t>4.  Інформація про відповідність запропонованих учасником товарів, за відповідно обраним лотом, медико-технічним та якісним вимогам тендерної документації має бути підтверджена наступними документами:</w:t>
      </w:r>
    </w:p>
    <w:p w14:paraId="13F0F1F8" w14:textId="77777777" w:rsidR="00B8191E" w:rsidRPr="00745BCB" w:rsidRDefault="00B8191E" w:rsidP="004A59B5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745BCB">
        <w:rPr>
          <w:rFonts w:ascii="Times New Roman" w:hAnsi="Times New Roman"/>
          <w:bCs/>
          <w:sz w:val="24"/>
          <w:szCs w:val="24"/>
        </w:rPr>
        <w:t>– копії документів про державну реєстрацію лікарських засобів (надати копії реєстраційних посвідчень на кожне найменування з переліку предмета закупівлі, що свідчать про їх наявність в Державному реєстрі лікарських засобів України. Якщо до закінчення строку дії реєстраційного посвідчення залишається менше 90 днів, надати завірену учасником копію документа, що підтверджує факт подання заяви на перереєстрацію;</w:t>
      </w:r>
    </w:p>
    <w:p w14:paraId="1D7F6CAC" w14:textId="7C809DB1" w:rsidR="00B8191E" w:rsidRPr="00745BCB" w:rsidRDefault="00B8191E" w:rsidP="004A59B5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745BCB">
        <w:rPr>
          <w:rFonts w:ascii="Times New Roman" w:hAnsi="Times New Roman"/>
          <w:bCs/>
          <w:sz w:val="24"/>
          <w:szCs w:val="24"/>
        </w:rPr>
        <w:t>– копія витягу з реєстру  оптово-відпускних цін МОЗ України на запропонований товар</w:t>
      </w:r>
      <w:r w:rsidR="00480854" w:rsidRPr="00745BCB">
        <w:t xml:space="preserve"> </w:t>
      </w:r>
      <w:r w:rsidR="00480854" w:rsidRPr="00745BCB">
        <w:rPr>
          <w:rFonts w:ascii="Times New Roman" w:hAnsi="Times New Roman"/>
          <w:bCs/>
          <w:sz w:val="24"/>
          <w:szCs w:val="24"/>
        </w:rPr>
        <w:t>або з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ціноутворенню;</w:t>
      </w:r>
    </w:p>
    <w:p w14:paraId="3C78BC98" w14:textId="77777777" w:rsidR="00B8191E" w:rsidRPr="00745BCB" w:rsidRDefault="00B8191E" w:rsidP="004A59B5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745BCB">
        <w:rPr>
          <w:rFonts w:ascii="Times New Roman" w:hAnsi="Times New Roman"/>
          <w:bCs/>
          <w:sz w:val="24"/>
          <w:szCs w:val="24"/>
        </w:rPr>
        <w:t xml:space="preserve">– постачальник повинен мати чинну ліцензію на провадження господарської діяльності з  оптової торгівлі лікарськими засобами або чинну ліцензію на виробництво </w:t>
      </w:r>
      <w:r w:rsidRPr="00745BCB">
        <w:rPr>
          <w:rFonts w:ascii="Times New Roman" w:hAnsi="Times New Roman"/>
          <w:bCs/>
          <w:sz w:val="24"/>
          <w:szCs w:val="24"/>
        </w:rPr>
        <w:lastRenderedPageBreak/>
        <w:t>лікарських засобів якщо Учасник є виробником запропонованого товару (в складі пропозиції надається копія ліцензії);</w:t>
      </w:r>
    </w:p>
    <w:p w14:paraId="16E96929" w14:textId="6586E1DC" w:rsidR="004A59B5" w:rsidRPr="00745BCB" w:rsidRDefault="004A59B5" w:rsidP="004A59B5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745BCB">
        <w:rPr>
          <w:rFonts w:ascii="Times New Roman" w:hAnsi="Times New Roman"/>
          <w:bCs/>
          <w:sz w:val="24"/>
          <w:szCs w:val="24"/>
        </w:rPr>
        <w:t xml:space="preserve">- </w:t>
      </w:r>
      <w:r w:rsidR="004B6379" w:rsidRPr="00745BCB">
        <w:rPr>
          <w:rFonts w:ascii="Times New Roman" w:hAnsi="Times New Roman"/>
          <w:bCs/>
          <w:sz w:val="24"/>
          <w:szCs w:val="24"/>
        </w:rPr>
        <w:t>у</w:t>
      </w:r>
      <w:r w:rsidRPr="00745BCB">
        <w:rPr>
          <w:rFonts w:ascii="Times New Roman" w:hAnsi="Times New Roman"/>
          <w:bCs/>
          <w:sz w:val="24"/>
          <w:szCs w:val="24"/>
        </w:rPr>
        <w:t xml:space="preserve"> складі своєї пропозиції учасник повинен надати оригінал гарантійних листів виробника (представництва, філії виробника – якщо їх відповідні повноваження поширюються на територію України), яким підтверджується можливість поставки запропонованого товару, який є предметом закупівлі цих торгів у кількості, зі строками придатності та в терміни, визначені цією тендерною документацією та тендерною пропозицією учасника торгів</w:t>
      </w:r>
      <w:r w:rsidR="00480854" w:rsidRPr="00745BCB">
        <w:rPr>
          <w:rFonts w:ascii="Times New Roman" w:hAnsi="Times New Roman"/>
          <w:bCs/>
          <w:sz w:val="24"/>
          <w:szCs w:val="24"/>
        </w:rPr>
        <w:t xml:space="preserve"> (по Лоту №2 дана вимога стосується лише препаратів іноземного виробництва).</w:t>
      </w:r>
    </w:p>
    <w:p w14:paraId="1ED3A463" w14:textId="0A9D4F7E" w:rsidR="00B8191E" w:rsidRPr="00745BCB" w:rsidRDefault="00B8191E" w:rsidP="004A59B5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745BCB">
        <w:rPr>
          <w:rFonts w:ascii="Times New Roman" w:hAnsi="Times New Roman"/>
          <w:bCs/>
          <w:sz w:val="24"/>
          <w:szCs w:val="24"/>
        </w:rPr>
        <w:t xml:space="preserve">- </w:t>
      </w:r>
      <w:r w:rsidR="004B6379" w:rsidRPr="00745BCB">
        <w:rPr>
          <w:rFonts w:ascii="Times New Roman" w:hAnsi="Times New Roman"/>
          <w:bCs/>
          <w:sz w:val="24"/>
          <w:szCs w:val="24"/>
        </w:rPr>
        <w:t>у</w:t>
      </w:r>
      <w:r w:rsidRPr="00745BCB">
        <w:rPr>
          <w:rFonts w:ascii="Times New Roman" w:hAnsi="Times New Roman"/>
          <w:bCs/>
          <w:sz w:val="24"/>
          <w:szCs w:val="24"/>
        </w:rPr>
        <w:t>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 оформлених відповідно до вимог чинного законодавства, в тому числі з урахуванням положень ст. 799 Цивільного кодексу України).</w:t>
      </w:r>
    </w:p>
    <w:p w14:paraId="40397667" w14:textId="77777777" w:rsidR="00780936" w:rsidRPr="00745BCB" w:rsidRDefault="00780936" w:rsidP="007809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2B7E2D" w14:textId="0FA04FA2" w:rsidR="0033035C" w:rsidRPr="00745BCB" w:rsidRDefault="004B6379" w:rsidP="00D253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5BCB">
        <w:rPr>
          <w:rFonts w:ascii="Times New Roman" w:hAnsi="Times New Roman"/>
          <w:b/>
          <w:bCs/>
          <w:sz w:val="24"/>
          <w:szCs w:val="24"/>
        </w:rPr>
        <w:t>5</w:t>
      </w:r>
      <w:r w:rsidR="0033035C" w:rsidRPr="00745BCB">
        <w:rPr>
          <w:rFonts w:ascii="Times New Roman" w:hAnsi="Times New Roman"/>
          <w:b/>
          <w:bCs/>
          <w:sz w:val="24"/>
          <w:szCs w:val="24"/>
        </w:rPr>
        <w:t xml:space="preserve">. Якісні та кількісні характеристики </w:t>
      </w:r>
      <w:r w:rsidR="00526104" w:rsidRPr="00745BCB">
        <w:rPr>
          <w:rFonts w:ascii="Times New Roman" w:hAnsi="Times New Roman"/>
          <w:b/>
          <w:bCs/>
          <w:sz w:val="24"/>
          <w:szCs w:val="24"/>
        </w:rPr>
        <w:t xml:space="preserve">до Лоту №1 за </w:t>
      </w:r>
      <w:r w:rsidR="0033035C" w:rsidRPr="00745BCB">
        <w:rPr>
          <w:rFonts w:ascii="Times New Roman" w:hAnsi="Times New Roman"/>
          <w:b/>
          <w:bCs/>
          <w:sz w:val="24"/>
          <w:szCs w:val="24"/>
        </w:rPr>
        <w:t>предмет</w:t>
      </w:r>
      <w:r w:rsidR="00526104" w:rsidRPr="00745BCB">
        <w:rPr>
          <w:rFonts w:ascii="Times New Roman" w:hAnsi="Times New Roman"/>
          <w:b/>
          <w:bCs/>
          <w:sz w:val="24"/>
          <w:szCs w:val="24"/>
        </w:rPr>
        <w:t>ом</w:t>
      </w:r>
      <w:r w:rsidR="0033035C" w:rsidRPr="00745BCB">
        <w:rPr>
          <w:rFonts w:ascii="Times New Roman" w:hAnsi="Times New Roman"/>
          <w:b/>
          <w:bCs/>
          <w:sz w:val="24"/>
          <w:szCs w:val="24"/>
        </w:rPr>
        <w:t xml:space="preserve"> закупівлі: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559"/>
        <w:gridCol w:w="1134"/>
        <w:gridCol w:w="1276"/>
      </w:tblGrid>
      <w:tr w:rsidR="00D25391" w:rsidRPr="00745BCB" w14:paraId="25417DAB" w14:textId="77777777" w:rsidTr="004B6379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8DD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C0080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CA6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5774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CD3E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D25391" w:rsidRPr="00745BCB" w14:paraId="1D1E74FF" w14:textId="77777777" w:rsidTr="004B6379">
        <w:trPr>
          <w:trHeight w:val="4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E129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CC25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Анальгін розчин для ін'єкцій 500 мг/мл по 2 мл в ампулі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70A5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Metamizole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558B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62AD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25391" w:rsidRPr="00745BCB" w14:paraId="77D6B2DD" w14:textId="77777777" w:rsidTr="004B637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0EB7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3F2B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Інфулган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, розчин для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10 мг/мл; по 20 мл в пляшці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9C4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Paracetamol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ABDE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пляшка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1A46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391" w:rsidRPr="00745BCB" w14:paraId="7403259A" w14:textId="77777777" w:rsidTr="004B6379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B469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D7D1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Магнію сульфат розчин для ін'єкцій 250 мг/мл по 5мл в ампулі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4532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Magnesium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sulfate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5898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995B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25391" w:rsidRPr="00745BCB" w14:paraId="0C1DC792" w14:textId="77777777" w:rsidTr="004B637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437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10619068"/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1C7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Лонгокаїн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розчин для ін’єкцій 2,5 мг/мл по 200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A4A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Bupivacaine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2169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пляшка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B9A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25391" w:rsidRPr="00745BCB" w14:paraId="2935664A" w14:textId="77777777" w:rsidTr="004B6379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DF2FE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FB01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Лонгокаїн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розчин для ін’єкцій 5,0 мг/мл по 5 мл в ампулі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B3D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BCB">
              <w:rPr>
                <w:rFonts w:ascii="Times New Roman" w:hAnsi="Times New Roman"/>
                <w:sz w:val="24"/>
                <w:szCs w:val="24"/>
                <w:lang w:val="en-US"/>
              </w:rPr>
              <w:t>Bupivacaine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EDA4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752F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391" w:rsidRPr="00745BCB" w14:paraId="14AF0F3E" w14:textId="77777777" w:rsidTr="004B6379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1F30A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50D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Новокаїн розчин для ін'єкцій 5 мг/мл по 200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E90D" w14:textId="04970F98" w:rsidR="00D25391" w:rsidRPr="00745BCB" w:rsidRDefault="00D25391" w:rsidP="00D2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Procaine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162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пляшка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2624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25391" w:rsidRPr="00745BCB" w14:paraId="4D047FFC" w14:textId="77777777" w:rsidTr="004B6379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88109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02FF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Трисоль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розчин для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по 200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A7B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Electrolytes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BFE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пляшка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98AA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25391" w:rsidRPr="00745BCB" w14:paraId="4F9DA23F" w14:textId="77777777" w:rsidTr="004B637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B24D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F4" w14:textId="77777777" w:rsidR="00D25391" w:rsidRPr="00745BCB" w:rsidRDefault="00D25391" w:rsidP="00D25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Рефекс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, порошок для розчину для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по 4 г/0,5 г, по 1 флакону порошку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EE29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Piperacillin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beta-lactamase</w:t>
            </w:r>
            <w:proofErr w:type="spellEnd"/>
            <w:r w:rsidRPr="007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BCB">
              <w:rPr>
                <w:rFonts w:ascii="Times New Roman" w:hAnsi="Times New Roman"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6F69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0B26" w14:textId="77777777" w:rsidR="00D25391" w:rsidRPr="00745BCB" w:rsidRDefault="00D25391" w:rsidP="00D25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bookmarkEnd w:id="1"/>
    </w:tbl>
    <w:p w14:paraId="18E55886" w14:textId="77777777" w:rsidR="005D77DE" w:rsidRPr="00745BCB" w:rsidRDefault="005D77DE" w:rsidP="005D77D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5D8874F7" w14:textId="0456C6E2" w:rsidR="00750367" w:rsidRPr="00745BCB" w:rsidRDefault="00750367" w:rsidP="007503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5BCB">
        <w:rPr>
          <w:rFonts w:ascii="Times New Roman" w:hAnsi="Times New Roman"/>
          <w:b/>
          <w:bCs/>
          <w:sz w:val="24"/>
          <w:szCs w:val="24"/>
        </w:rPr>
        <w:t>6. Якісні та кількісні характеристики до Лоту №</w:t>
      </w:r>
      <w:r w:rsidR="004B6379" w:rsidRPr="00745BCB">
        <w:rPr>
          <w:rFonts w:ascii="Times New Roman" w:hAnsi="Times New Roman"/>
          <w:b/>
          <w:bCs/>
          <w:sz w:val="24"/>
          <w:szCs w:val="24"/>
        </w:rPr>
        <w:t>2</w:t>
      </w:r>
      <w:r w:rsidRPr="00745BCB">
        <w:rPr>
          <w:rFonts w:ascii="Times New Roman" w:hAnsi="Times New Roman"/>
          <w:b/>
          <w:bCs/>
          <w:sz w:val="24"/>
          <w:szCs w:val="24"/>
        </w:rPr>
        <w:t xml:space="preserve"> за предметом закупівлі:</w:t>
      </w:r>
    </w:p>
    <w:tbl>
      <w:tblPr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134"/>
        <w:gridCol w:w="1275"/>
      </w:tblGrid>
      <w:tr w:rsidR="004B6379" w:rsidRPr="00745BCB" w14:paraId="04FB453C" w14:textId="77777777" w:rsidTr="004B6379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B93" w14:textId="18D3C1A4" w:rsidR="004B6379" w:rsidRPr="00745BCB" w:rsidRDefault="004B6379" w:rsidP="004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2DE" w14:textId="77777777" w:rsidR="004B6379" w:rsidRPr="00745BCB" w:rsidRDefault="004B6379" w:rsidP="004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7AC" w14:textId="2AF7644D" w:rsidR="004B6379" w:rsidRPr="00745BCB" w:rsidRDefault="004B6379" w:rsidP="004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5DBA" w14:textId="0D6FBEE4" w:rsidR="004B6379" w:rsidRPr="00745BCB" w:rsidRDefault="004B6379" w:rsidP="004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3E9" w14:textId="3CA56690" w:rsidR="004B6379" w:rsidRPr="00745BCB" w:rsidRDefault="004B6379" w:rsidP="004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F53B09" w:rsidRPr="00745BCB" w14:paraId="6F0CC98E" w14:textId="77777777" w:rsidTr="00696A1F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C21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3B6" w14:textId="460F3055" w:rsidR="00750367" w:rsidRPr="00745BCB" w:rsidRDefault="00750367" w:rsidP="0075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ОМЕПРАЗОЛ</w:t>
            </w:r>
            <w:r w:rsidR="00F53B09"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порошок для розчину для ін'єкцій по 40 мг у флаконах, по 1  у картонній коробці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8CD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Omeprazole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656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797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</w:tr>
      <w:tr w:rsidR="00F53B09" w:rsidRPr="00745BCB" w14:paraId="6C0FCD7A" w14:textId="77777777" w:rsidTr="004B637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449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D59" w14:textId="77777777" w:rsidR="00750367" w:rsidRPr="00745BCB" w:rsidRDefault="00750367" w:rsidP="0075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ОКСИТОЦИН-БІОЛІК розчин для ін'єкцій 5 МО/мл по 1 мл в ампулі;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B73A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Oxytocin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193F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2C07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F53B09" w:rsidRPr="00745BCB" w14:paraId="77BA5568" w14:textId="77777777" w:rsidTr="004B637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AD2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A8A" w14:textId="108BE9B3" w:rsidR="00750367" w:rsidRPr="00745BCB" w:rsidRDefault="00750367" w:rsidP="0075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ДРОТАВЕРИН-ДАРНИЦЯ,</w:t>
            </w:r>
            <w:r w:rsidR="00F53B09"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розчин для ін'єкцій, 20мг/мл 2мл №5 (5х1)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836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Drotaverine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C5C8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E4A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F53B09" w:rsidRPr="00745BCB" w14:paraId="29BC0D53" w14:textId="77777777" w:rsidTr="004B637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F88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BD9" w14:textId="62913684" w:rsidR="00750367" w:rsidRPr="00745BCB" w:rsidRDefault="00750367" w:rsidP="0075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ДИКЛОФЕНАК-ДАРНИЦЯ,</w:t>
            </w:r>
            <w:r w:rsidR="00F53B09"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розчин для ін'єкцій, 25мг/мл 3мл №10 (5х2)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CB3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Diclofenac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2D6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459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F53B09" w:rsidRPr="00745BCB" w14:paraId="3C7AC283" w14:textId="77777777" w:rsidTr="004B637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C53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5D9" w14:textId="3DB62A92" w:rsidR="00750367" w:rsidRPr="00745BCB" w:rsidRDefault="00750367" w:rsidP="0075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ДЕКСАМЕТАЗОН-ДАРНИЦЯ,</w:t>
            </w:r>
            <w:r w:rsidR="00F53B09"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розчин для ін'єкцій, 4мг/мл 1мл №10 (5х2)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335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Dexamethasone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385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4A8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750367" w:rsidRPr="00745BCB" w14:paraId="1FC407C8" w14:textId="77777777" w:rsidTr="004B6379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17E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19D0" w14:textId="77777777" w:rsidR="00750367" w:rsidRPr="00745BCB" w:rsidRDefault="00750367" w:rsidP="0075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ЦІАНОКОБАЛАМІН-ДАРНИЦЯ (ВІТАМІН В12),розчин для ін'єкцій, 0,2мг/мл 1мл №10 (5х2)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0EA4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Cyanocobalamin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765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1E8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750367" w:rsidRPr="00745BCB" w14:paraId="47CD3D3C" w14:textId="77777777" w:rsidTr="004B6379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8EE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E1EC" w14:textId="77777777" w:rsidR="00750367" w:rsidRPr="00745BCB" w:rsidRDefault="00750367" w:rsidP="0075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НОРАДРЕНАЛІНУ ТАРТРАТ АГЕТАН 2 МГ/МЛ (БЕЗ СУЛЬФІТІВ)</w:t>
            </w:r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концентрат для розчину для </w:t>
            </w:r>
            <w:proofErr w:type="spellStart"/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інфузій</w:t>
            </w:r>
            <w:proofErr w:type="spellEnd"/>
            <w:r w:rsidRPr="00745B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2 мг/мл по 4 мл у ампулі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DF2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Norepinephrine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422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04F" w14:textId="77777777" w:rsidR="00750367" w:rsidRPr="00745BCB" w:rsidRDefault="00750367" w:rsidP="0075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14:paraId="3EB3D52F" w14:textId="39A6EDCC" w:rsidR="00C15989" w:rsidRPr="00745BCB" w:rsidRDefault="00C15989" w:rsidP="00C15989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21A6075F" w14:textId="7818891D" w:rsidR="00C15989" w:rsidRPr="00745BCB" w:rsidRDefault="00C15989" w:rsidP="00C1598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45BC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2C01A1D1" w14:textId="333BE741" w:rsidR="00C15989" w:rsidRPr="00696A1F" w:rsidRDefault="00BB660A" w:rsidP="00C1598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745BCB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*</w:t>
      </w:r>
      <w:r w:rsidR="00C15989" w:rsidRPr="00745BCB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55A98AA5" w14:textId="77777777" w:rsidR="00C15989" w:rsidRPr="00696A1F" w:rsidRDefault="00C15989" w:rsidP="00C15989">
      <w:pPr>
        <w:widowControl w:val="0"/>
        <w:autoSpaceDE w:val="0"/>
        <w:autoSpaceDN w:val="0"/>
        <w:spacing w:after="0" w:line="240" w:lineRule="auto"/>
        <w:ind w:left="115" w:right="306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</w:p>
    <w:p w14:paraId="6438ACDD" w14:textId="77777777" w:rsidR="00C15989" w:rsidRPr="00696A1F" w:rsidRDefault="00C15989" w:rsidP="00C15989">
      <w:pPr>
        <w:widowControl w:val="0"/>
        <w:autoSpaceDE w:val="0"/>
        <w:autoSpaceDN w:val="0"/>
        <w:spacing w:after="0" w:line="240" w:lineRule="auto"/>
        <w:ind w:left="115" w:right="306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</w:p>
    <w:p w14:paraId="6D4C7AB7" w14:textId="77777777" w:rsidR="00F069FF" w:rsidRPr="00640318" w:rsidRDefault="00000000" w:rsidP="00C15989"/>
    <w:sectPr w:rsidR="00F069FF" w:rsidRPr="0064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 w16cid:durableId="772093350">
    <w:abstractNumId w:val="1"/>
  </w:num>
  <w:num w:numId="2" w16cid:durableId="59120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143131"/>
    <w:rsid w:val="001C5A46"/>
    <w:rsid w:val="0023416F"/>
    <w:rsid w:val="00235267"/>
    <w:rsid w:val="0033035C"/>
    <w:rsid w:val="00387627"/>
    <w:rsid w:val="003B06C1"/>
    <w:rsid w:val="00454E09"/>
    <w:rsid w:val="00480854"/>
    <w:rsid w:val="004A59B5"/>
    <w:rsid w:val="004B6379"/>
    <w:rsid w:val="00526104"/>
    <w:rsid w:val="005704FF"/>
    <w:rsid w:val="00575310"/>
    <w:rsid w:val="005C10BA"/>
    <w:rsid w:val="005D77DE"/>
    <w:rsid w:val="00640318"/>
    <w:rsid w:val="00696A1F"/>
    <w:rsid w:val="006C4E05"/>
    <w:rsid w:val="007453EE"/>
    <w:rsid w:val="00745BCB"/>
    <w:rsid w:val="00750367"/>
    <w:rsid w:val="0076623D"/>
    <w:rsid w:val="00780936"/>
    <w:rsid w:val="00790DEA"/>
    <w:rsid w:val="007C0ECA"/>
    <w:rsid w:val="00823045"/>
    <w:rsid w:val="008741BC"/>
    <w:rsid w:val="00904749"/>
    <w:rsid w:val="00965596"/>
    <w:rsid w:val="009A1A44"/>
    <w:rsid w:val="00A46ECA"/>
    <w:rsid w:val="00A60590"/>
    <w:rsid w:val="00A96683"/>
    <w:rsid w:val="00B507D4"/>
    <w:rsid w:val="00B64F28"/>
    <w:rsid w:val="00B8191E"/>
    <w:rsid w:val="00BB660A"/>
    <w:rsid w:val="00C15989"/>
    <w:rsid w:val="00C540D7"/>
    <w:rsid w:val="00D14B8B"/>
    <w:rsid w:val="00D25391"/>
    <w:rsid w:val="00D457A2"/>
    <w:rsid w:val="00EB6CDD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087"/>
  <w15:chartTrackingRefBased/>
  <w15:docId w15:val="{0126EC37-6C54-4BF1-BDEB-FCBF41B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49"/>
    <w:pPr>
      <w:ind w:left="720"/>
      <w:contextualSpacing/>
    </w:pPr>
  </w:style>
  <w:style w:type="paragraph" w:customStyle="1" w:styleId="1">
    <w:name w:val="Без интервала1"/>
    <w:uiPriority w:val="1"/>
    <w:qFormat/>
    <w:rsid w:val="0064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</dc:creator>
  <cp:keywords/>
  <dc:description/>
  <cp:lastModifiedBy>Андрій Лисенко</cp:lastModifiedBy>
  <cp:revision>17</cp:revision>
  <dcterms:created xsi:type="dcterms:W3CDTF">2020-11-03T10:25:00Z</dcterms:created>
  <dcterms:modified xsi:type="dcterms:W3CDTF">2022-12-02T12:02:00Z</dcterms:modified>
</cp:coreProperties>
</file>