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49"/>
      </w:tblGrid>
      <w:tr w:rsidR="007071F7" w:rsidRPr="007071F7" w14:paraId="46CC4061" w14:textId="77777777" w:rsidTr="007071F7">
        <w:tc>
          <w:tcPr>
            <w:tcW w:w="5000" w:type="pct"/>
            <w:tcBorders>
              <w:top w:val="single" w:sz="2" w:space="0" w:color="auto"/>
              <w:left w:val="single" w:sz="2" w:space="0" w:color="auto"/>
              <w:bottom w:val="single" w:sz="2" w:space="0" w:color="auto"/>
              <w:right w:val="single" w:sz="2" w:space="0" w:color="auto"/>
            </w:tcBorders>
            <w:hideMark/>
          </w:tcPr>
          <w:p w14:paraId="555C08D9" w14:textId="664BE484" w:rsidR="007071F7" w:rsidRPr="007071F7" w:rsidRDefault="00CE765A" w:rsidP="007071F7">
            <w:pPr>
              <w:spacing w:before="100" w:after="100" w:line="240" w:lineRule="auto"/>
              <w:ind w:left="300" w:right="30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26854D89" wp14:editId="33FC04AB">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B35F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tc>
      </w:tr>
      <w:tr w:rsidR="007071F7" w:rsidRPr="007071F7" w14:paraId="239E471B" w14:textId="77777777" w:rsidTr="007071F7">
        <w:tc>
          <w:tcPr>
            <w:tcW w:w="5000" w:type="pct"/>
            <w:tcBorders>
              <w:top w:val="single" w:sz="2" w:space="0" w:color="auto"/>
              <w:left w:val="single" w:sz="2" w:space="0" w:color="auto"/>
              <w:bottom w:val="single" w:sz="2" w:space="0" w:color="auto"/>
              <w:right w:val="single" w:sz="2" w:space="0" w:color="auto"/>
            </w:tcBorders>
            <w:hideMark/>
          </w:tcPr>
          <w:p w14:paraId="24CE9106" w14:textId="77777777" w:rsidR="007071F7" w:rsidRPr="007071F7" w:rsidRDefault="007071F7" w:rsidP="007071F7">
            <w:pPr>
              <w:spacing w:before="200" w:after="0" w:line="240" w:lineRule="auto"/>
              <w:ind w:left="300" w:right="300"/>
              <w:jc w:val="center"/>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32"/>
                <w:lang w:eastAsia="ru-RU"/>
              </w:rPr>
              <w:t>КАБІНЕТ МІНІСТРІВ УКРАЇНИ</w:t>
            </w:r>
            <w:r w:rsidRPr="007071F7">
              <w:rPr>
                <w:rFonts w:ascii="Times New Roman" w:eastAsia="Times New Roman" w:hAnsi="Times New Roman" w:cs="Times New Roman"/>
                <w:sz w:val="24"/>
                <w:szCs w:val="24"/>
                <w:lang w:eastAsia="ru-RU"/>
              </w:rPr>
              <w:br/>
            </w:r>
            <w:r w:rsidRPr="007071F7">
              <w:rPr>
                <w:rFonts w:ascii="Times New Roman" w:eastAsia="Times New Roman" w:hAnsi="Times New Roman" w:cs="Times New Roman"/>
                <w:b/>
                <w:bCs/>
                <w:sz w:val="36"/>
                <w:lang w:eastAsia="ru-RU"/>
              </w:rPr>
              <w:t>ПОСТАНОВА</w:t>
            </w:r>
          </w:p>
        </w:tc>
      </w:tr>
      <w:tr w:rsidR="007071F7" w:rsidRPr="007071F7" w14:paraId="3C428A20" w14:textId="77777777" w:rsidTr="007071F7">
        <w:tc>
          <w:tcPr>
            <w:tcW w:w="5000" w:type="pct"/>
            <w:tcBorders>
              <w:top w:val="single" w:sz="2" w:space="0" w:color="auto"/>
              <w:left w:val="single" w:sz="2" w:space="0" w:color="auto"/>
              <w:bottom w:val="single" w:sz="2" w:space="0" w:color="auto"/>
              <w:right w:val="single" w:sz="2" w:space="0" w:color="auto"/>
            </w:tcBorders>
            <w:hideMark/>
          </w:tcPr>
          <w:p w14:paraId="0A1AABEE" w14:textId="77777777" w:rsidR="007071F7" w:rsidRPr="007071F7" w:rsidRDefault="007071F7" w:rsidP="007071F7">
            <w:pPr>
              <w:spacing w:before="100" w:after="100" w:line="240" w:lineRule="auto"/>
              <w:ind w:left="300" w:right="300"/>
              <w:jc w:val="center"/>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24"/>
                <w:szCs w:val="24"/>
                <w:lang w:eastAsia="ru-RU"/>
              </w:rPr>
              <w:t>від 22 серпня 2023 р. № 896</w:t>
            </w:r>
            <w:r w:rsidRPr="007071F7">
              <w:rPr>
                <w:rFonts w:ascii="Times New Roman" w:eastAsia="Times New Roman" w:hAnsi="Times New Roman" w:cs="Times New Roman"/>
                <w:sz w:val="24"/>
                <w:szCs w:val="24"/>
                <w:lang w:eastAsia="ru-RU"/>
              </w:rPr>
              <w:br/>
            </w:r>
            <w:r w:rsidRPr="007071F7">
              <w:rPr>
                <w:rFonts w:ascii="Times New Roman" w:eastAsia="Times New Roman" w:hAnsi="Times New Roman" w:cs="Times New Roman"/>
                <w:b/>
                <w:bCs/>
                <w:sz w:val="24"/>
                <w:szCs w:val="24"/>
                <w:lang w:eastAsia="ru-RU"/>
              </w:rPr>
              <w:t>Київ</w:t>
            </w:r>
          </w:p>
        </w:tc>
      </w:tr>
    </w:tbl>
    <w:p w14:paraId="5FB9BE19" w14:textId="77777777" w:rsidR="007071F7" w:rsidRPr="007071F7" w:rsidRDefault="007071F7" w:rsidP="007071F7">
      <w:pPr>
        <w:shd w:val="clear" w:color="auto" w:fill="FFFFFF"/>
        <w:spacing w:before="200" w:after="300" w:line="240" w:lineRule="auto"/>
        <w:ind w:left="300" w:right="300"/>
        <w:jc w:val="center"/>
        <w:rPr>
          <w:rFonts w:ascii="Times New Roman" w:eastAsia="Times New Roman" w:hAnsi="Times New Roman" w:cs="Times New Roman"/>
          <w:color w:val="333333"/>
          <w:sz w:val="16"/>
          <w:szCs w:val="16"/>
          <w:lang w:eastAsia="ru-RU"/>
        </w:rPr>
      </w:pPr>
      <w:bookmarkStart w:id="0" w:name="n3"/>
      <w:bookmarkEnd w:id="0"/>
      <w:r w:rsidRPr="007071F7">
        <w:rPr>
          <w:rFonts w:ascii="Times New Roman" w:eastAsia="Times New Roman" w:hAnsi="Times New Roman" w:cs="Times New Roman"/>
          <w:b/>
          <w:bCs/>
          <w:color w:val="333333"/>
          <w:sz w:val="32"/>
          <w:lang w:eastAsia="ru-RU"/>
        </w:rPr>
        <w:t>Про внесення змін до постанов Кабінету Міністрів України від 1 червня 2011 р. № 869 і від 19 липня 2022 р. № 812</w:t>
      </w:r>
    </w:p>
    <w:p w14:paraId="73BEA211"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 w:name="n4"/>
      <w:bookmarkEnd w:id="1"/>
      <w:r w:rsidRPr="007071F7">
        <w:rPr>
          <w:rFonts w:ascii="Times New Roman" w:eastAsia="Times New Roman" w:hAnsi="Times New Roman" w:cs="Times New Roman"/>
          <w:color w:val="333333"/>
          <w:sz w:val="16"/>
          <w:szCs w:val="16"/>
          <w:lang w:eastAsia="ru-RU"/>
        </w:rPr>
        <w:t>Кабінет Міністрів України </w:t>
      </w:r>
      <w:r w:rsidRPr="007071F7">
        <w:rPr>
          <w:rFonts w:ascii="Times New Roman" w:eastAsia="Times New Roman" w:hAnsi="Times New Roman" w:cs="Times New Roman"/>
          <w:b/>
          <w:bCs/>
          <w:color w:val="333333"/>
          <w:spacing w:val="20"/>
          <w:sz w:val="24"/>
          <w:szCs w:val="24"/>
          <w:lang w:eastAsia="ru-RU"/>
        </w:rPr>
        <w:t>постановляє</w:t>
      </w:r>
      <w:r w:rsidRPr="007071F7">
        <w:rPr>
          <w:rFonts w:ascii="Times New Roman" w:eastAsia="Times New Roman" w:hAnsi="Times New Roman" w:cs="Times New Roman"/>
          <w:color w:val="333333"/>
          <w:sz w:val="16"/>
          <w:szCs w:val="16"/>
          <w:lang w:eastAsia="ru-RU"/>
        </w:rPr>
        <w:t>:</w:t>
      </w:r>
    </w:p>
    <w:p w14:paraId="735C4FF9"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 w:name="n5"/>
      <w:bookmarkEnd w:id="2"/>
      <w:r w:rsidRPr="007071F7">
        <w:rPr>
          <w:rFonts w:ascii="Times New Roman" w:eastAsia="Times New Roman" w:hAnsi="Times New Roman" w:cs="Times New Roman"/>
          <w:color w:val="333333"/>
          <w:sz w:val="16"/>
          <w:szCs w:val="16"/>
          <w:lang w:eastAsia="ru-RU"/>
        </w:rPr>
        <w:t>1. Внести до постанов Кабінету Міністрів України від 1 червня 2011 р. </w:t>
      </w:r>
      <w:hyperlink r:id="rId4" w:tgtFrame="_blank" w:history="1">
        <w:r w:rsidRPr="007071F7">
          <w:rPr>
            <w:rFonts w:ascii="Times New Roman" w:eastAsia="Times New Roman" w:hAnsi="Times New Roman" w:cs="Times New Roman"/>
            <w:color w:val="000099"/>
            <w:sz w:val="24"/>
            <w:szCs w:val="24"/>
            <w:u w:val="single"/>
            <w:lang w:eastAsia="ru-RU"/>
          </w:rPr>
          <w:t>№ 869</w:t>
        </w:r>
      </w:hyperlink>
      <w:r w:rsidRPr="007071F7">
        <w:rPr>
          <w:rFonts w:ascii="Times New Roman" w:eastAsia="Times New Roman" w:hAnsi="Times New Roman" w:cs="Times New Roman"/>
          <w:color w:val="333333"/>
          <w:sz w:val="16"/>
          <w:szCs w:val="16"/>
          <w:lang w:eastAsia="ru-RU"/>
        </w:rPr>
        <w:t> “Про забезпечення єдиного підходу до формування тарифів на комунальні послуги” (Офіційний вісник України, 2011 р., № 62, ст. 2472; 2019 р., № 30, ст. 1069; 2020 р., № 49, ст. 1538) і від 19 липня 2022 р. </w:t>
      </w:r>
      <w:hyperlink r:id="rId5" w:tgtFrame="_blank" w:history="1">
        <w:r w:rsidRPr="007071F7">
          <w:rPr>
            <w:rFonts w:ascii="Times New Roman" w:eastAsia="Times New Roman" w:hAnsi="Times New Roman" w:cs="Times New Roman"/>
            <w:color w:val="000099"/>
            <w:sz w:val="24"/>
            <w:szCs w:val="24"/>
            <w:u w:val="single"/>
            <w:lang w:eastAsia="ru-RU"/>
          </w:rPr>
          <w:t>№ 812</w:t>
        </w:r>
      </w:hyperlink>
      <w:r w:rsidRPr="007071F7">
        <w:rPr>
          <w:rFonts w:ascii="Times New Roman" w:eastAsia="Times New Roman" w:hAnsi="Times New Roman" w:cs="Times New Roman"/>
          <w:color w:val="333333"/>
          <w:sz w:val="16"/>
          <w:szCs w:val="16"/>
          <w:lang w:eastAsia="ru-RU"/>
        </w:rPr>
        <w:t>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(Офіційний вісник України, 2022 р., № 59, ст. 3559; 2023 р., № 2, ст. 136, № 47, ст. 2547) зміни, що додаються.</w:t>
      </w:r>
    </w:p>
    <w:p w14:paraId="3774EF94"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 w:name="n6"/>
      <w:bookmarkEnd w:id="3"/>
      <w:r w:rsidRPr="007071F7">
        <w:rPr>
          <w:rFonts w:ascii="Times New Roman" w:eastAsia="Times New Roman" w:hAnsi="Times New Roman" w:cs="Times New Roman"/>
          <w:color w:val="333333"/>
          <w:sz w:val="16"/>
          <w:szCs w:val="16"/>
          <w:lang w:eastAsia="ru-RU"/>
        </w:rPr>
        <w:t>2. Національній комісії, що здійснює державне регулювання у сферах енергетики та комунальних послуг, не пізніше ніж протягом останнього дня місяця, що настає за звітним, інформувати </w:t>
      </w:r>
      <w:hyperlink r:id="rId6" w:anchor="n9" w:tgtFrame="_blank" w:history="1">
        <w:r w:rsidRPr="007071F7">
          <w:rPr>
            <w:rFonts w:ascii="Times New Roman" w:eastAsia="Times New Roman" w:hAnsi="Times New Roman" w:cs="Times New Roman"/>
            <w:color w:val="000099"/>
            <w:sz w:val="24"/>
            <w:szCs w:val="24"/>
            <w:u w:val="single"/>
            <w:lang w:eastAsia="ru-RU"/>
          </w:rPr>
          <w:t>штаб з підготовки об’єктів житлово-комунального господарства та паливно-енергетичного комплексу до осінньо-зимового періоду 2023/24 року під час воєнного стану</w:t>
        </w:r>
      </w:hyperlink>
      <w:r w:rsidRPr="007071F7">
        <w:rPr>
          <w:rFonts w:ascii="Times New Roman" w:eastAsia="Times New Roman" w:hAnsi="Times New Roman" w:cs="Times New Roman"/>
          <w:color w:val="333333"/>
          <w:sz w:val="16"/>
          <w:szCs w:val="16"/>
          <w:lang w:eastAsia="ru-RU"/>
        </w:rPr>
        <w:t>, утворений постановою Кабінету Міністрів України від 19 травня 2023 р. № 515 (Офіційний вісник України, 2023 р., № 53, ст. 2975), про результати моніторингу, передбаченого </w:t>
      </w:r>
      <w:hyperlink r:id="rId7" w:anchor="n176" w:tgtFrame="_blank" w:history="1">
        <w:r w:rsidRPr="007071F7">
          <w:rPr>
            <w:rFonts w:ascii="Times New Roman" w:eastAsia="Times New Roman" w:hAnsi="Times New Roman" w:cs="Times New Roman"/>
            <w:color w:val="000099"/>
            <w:sz w:val="24"/>
            <w:szCs w:val="24"/>
            <w:u w:val="single"/>
            <w:lang w:eastAsia="ru-RU"/>
          </w:rPr>
          <w:t>пунктом 3</w:t>
        </w:r>
      </w:hyperlink>
      <w:hyperlink r:id="rId8" w:anchor="n176" w:tgtFrame="_blank" w:history="1">
        <w:r w:rsidRPr="007071F7">
          <w:rPr>
            <w:rFonts w:ascii="Times New Roman" w:eastAsia="Times New Roman" w:hAnsi="Times New Roman" w:cs="Times New Roman"/>
            <w:b/>
            <w:bCs/>
            <w:color w:val="000099"/>
            <w:sz w:val="2"/>
            <w:u w:val="single"/>
            <w:vertAlign w:val="superscript"/>
            <w:lang w:eastAsia="ru-RU"/>
          </w:rPr>
          <w:t>-</w:t>
        </w:r>
        <w:r w:rsidRPr="007071F7">
          <w:rPr>
            <w:rFonts w:ascii="Times New Roman" w:eastAsia="Times New Roman" w:hAnsi="Times New Roman" w:cs="Times New Roman"/>
            <w:b/>
            <w:bCs/>
            <w:color w:val="000099"/>
            <w:sz w:val="16"/>
            <w:u w:val="single"/>
            <w:vertAlign w:val="superscript"/>
            <w:lang w:eastAsia="ru-RU"/>
          </w:rPr>
          <w:t>4</w:t>
        </w:r>
      </w:hyperlink>
      <w:r w:rsidRPr="007071F7">
        <w:rPr>
          <w:rFonts w:ascii="Times New Roman" w:eastAsia="Times New Roman" w:hAnsi="Times New Roman" w:cs="Times New Roman"/>
          <w:color w:val="333333"/>
          <w:sz w:val="16"/>
          <w:szCs w:val="16"/>
          <w:lang w:eastAsia="ru-RU"/>
        </w:rPr>
        <w:t> постанови Кабінету Міністрів України від 19 липня 2022 р. № 812, з урахуванням змін, внесених цією постановою.</w:t>
      </w:r>
    </w:p>
    <w:p w14:paraId="1C17DECE"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 w:name="n7"/>
      <w:bookmarkEnd w:id="4"/>
      <w:r w:rsidRPr="007071F7">
        <w:rPr>
          <w:rFonts w:ascii="Times New Roman" w:eastAsia="Times New Roman" w:hAnsi="Times New Roman" w:cs="Times New Roman"/>
          <w:color w:val="333333"/>
          <w:sz w:val="16"/>
          <w:szCs w:val="16"/>
          <w:lang w:eastAsia="ru-RU"/>
        </w:rPr>
        <w:t>3. Рекомендувати органам місцевого самоврядування вжити заходів до покращення рівня розрахунків споживачів за теплову енергію, послуги з постачання теплової енергії та постачання гарячої води, а також впровадження на місцевому рівні програм щодо стимулювання (заохочення) споживачів до своєчасної оплати спожитих житлово-комунальних послуг.</w:t>
      </w:r>
    </w:p>
    <w:tbl>
      <w:tblPr>
        <w:tblW w:w="5000" w:type="pct"/>
        <w:tblCellMar>
          <w:left w:w="0" w:type="dxa"/>
          <w:right w:w="0" w:type="dxa"/>
        </w:tblCellMar>
        <w:tblLook w:val="04A0" w:firstRow="1" w:lastRow="0" w:firstColumn="1" w:lastColumn="0" w:noHBand="0" w:noVBand="1"/>
      </w:tblPr>
      <w:tblGrid>
        <w:gridCol w:w="2805"/>
        <w:gridCol w:w="6544"/>
      </w:tblGrid>
      <w:tr w:rsidR="007071F7" w:rsidRPr="007071F7" w14:paraId="2FE023FC" w14:textId="77777777" w:rsidTr="007071F7">
        <w:tc>
          <w:tcPr>
            <w:tcW w:w="1500" w:type="pct"/>
            <w:tcBorders>
              <w:top w:val="single" w:sz="2" w:space="0" w:color="auto"/>
              <w:left w:val="single" w:sz="2" w:space="0" w:color="auto"/>
              <w:bottom w:val="single" w:sz="2" w:space="0" w:color="auto"/>
              <w:right w:val="single" w:sz="2" w:space="0" w:color="auto"/>
            </w:tcBorders>
            <w:hideMark/>
          </w:tcPr>
          <w:p w14:paraId="5ACB36BD" w14:textId="77777777" w:rsidR="007071F7" w:rsidRPr="007071F7" w:rsidRDefault="007071F7" w:rsidP="007071F7">
            <w:pPr>
              <w:spacing w:before="200" w:after="100" w:line="240" w:lineRule="auto"/>
              <w:jc w:val="center"/>
              <w:rPr>
                <w:rFonts w:ascii="Times New Roman" w:eastAsia="Times New Roman" w:hAnsi="Times New Roman" w:cs="Times New Roman"/>
                <w:sz w:val="24"/>
                <w:szCs w:val="24"/>
                <w:lang w:eastAsia="ru-RU"/>
              </w:rPr>
            </w:pPr>
            <w:bookmarkStart w:id="5" w:name="n8"/>
            <w:bookmarkEnd w:id="5"/>
            <w:r w:rsidRPr="007071F7">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40FFC973" w14:textId="77777777" w:rsidR="007071F7" w:rsidRPr="007071F7" w:rsidRDefault="007071F7" w:rsidP="007071F7">
            <w:pPr>
              <w:spacing w:before="200" w:after="0" w:line="240" w:lineRule="auto"/>
              <w:jc w:val="right"/>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24"/>
                <w:szCs w:val="24"/>
                <w:lang w:eastAsia="ru-RU"/>
              </w:rPr>
              <w:t>Д. ШМИГАЛЬ</w:t>
            </w:r>
          </w:p>
        </w:tc>
      </w:tr>
      <w:tr w:rsidR="007071F7" w:rsidRPr="007071F7" w14:paraId="4ED65A08" w14:textId="77777777" w:rsidTr="007071F7">
        <w:tc>
          <w:tcPr>
            <w:tcW w:w="0" w:type="auto"/>
            <w:tcBorders>
              <w:top w:val="single" w:sz="2" w:space="0" w:color="auto"/>
              <w:left w:val="single" w:sz="2" w:space="0" w:color="auto"/>
              <w:bottom w:val="single" w:sz="2" w:space="0" w:color="auto"/>
              <w:right w:val="single" w:sz="2" w:space="0" w:color="auto"/>
            </w:tcBorders>
            <w:hideMark/>
          </w:tcPr>
          <w:p w14:paraId="44D140E8" w14:textId="77777777" w:rsidR="007071F7" w:rsidRPr="007071F7" w:rsidRDefault="007071F7" w:rsidP="007071F7">
            <w:pPr>
              <w:spacing w:before="200" w:after="100" w:line="240" w:lineRule="auto"/>
              <w:jc w:val="center"/>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24"/>
                <w:szCs w:val="24"/>
                <w:lang w:eastAsia="ru-RU"/>
              </w:rPr>
              <w:t>Інд. 37</w:t>
            </w:r>
          </w:p>
        </w:tc>
        <w:tc>
          <w:tcPr>
            <w:tcW w:w="0" w:type="auto"/>
            <w:tcBorders>
              <w:top w:val="single" w:sz="2" w:space="0" w:color="auto"/>
              <w:left w:val="single" w:sz="2" w:space="0" w:color="auto"/>
              <w:bottom w:val="single" w:sz="2" w:space="0" w:color="auto"/>
              <w:right w:val="single" w:sz="2" w:space="0" w:color="auto"/>
            </w:tcBorders>
            <w:hideMark/>
          </w:tcPr>
          <w:p w14:paraId="2AB3CD43" w14:textId="77777777" w:rsidR="007071F7" w:rsidRPr="007071F7" w:rsidRDefault="007071F7" w:rsidP="007071F7">
            <w:pPr>
              <w:spacing w:before="200" w:after="0" w:line="240" w:lineRule="auto"/>
              <w:jc w:val="right"/>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24"/>
                <w:szCs w:val="24"/>
                <w:lang w:eastAsia="ru-RU"/>
              </w:rPr>
              <w:br/>
            </w:r>
          </w:p>
        </w:tc>
      </w:tr>
    </w:tbl>
    <w:p w14:paraId="1048C4D1" w14:textId="77777777" w:rsidR="007071F7" w:rsidRPr="007071F7" w:rsidRDefault="00CE765A" w:rsidP="007071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62FC5A4F">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7071F7" w:rsidRPr="007071F7" w14:paraId="33308DC1" w14:textId="77777777" w:rsidTr="007071F7">
        <w:tc>
          <w:tcPr>
            <w:tcW w:w="2000" w:type="pct"/>
            <w:tcBorders>
              <w:top w:val="single" w:sz="2" w:space="0" w:color="auto"/>
              <w:left w:val="single" w:sz="2" w:space="0" w:color="auto"/>
              <w:bottom w:val="single" w:sz="2" w:space="0" w:color="auto"/>
              <w:right w:val="single" w:sz="2" w:space="0" w:color="auto"/>
            </w:tcBorders>
            <w:hideMark/>
          </w:tcPr>
          <w:p w14:paraId="52B34C95" w14:textId="77777777" w:rsidR="007071F7" w:rsidRPr="007071F7" w:rsidRDefault="007071F7" w:rsidP="007071F7">
            <w:pPr>
              <w:spacing w:before="100" w:after="100" w:line="240" w:lineRule="auto"/>
              <w:rPr>
                <w:rFonts w:ascii="Times New Roman" w:eastAsia="Times New Roman" w:hAnsi="Times New Roman" w:cs="Times New Roman"/>
                <w:sz w:val="24"/>
                <w:szCs w:val="24"/>
                <w:lang w:eastAsia="ru-RU"/>
              </w:rPr>
            </w:pPr>
            <w:bookmarkStart w:id="6" w:name="n98"/>
            <w:bookmarkStart w:id="7" w:name="n11"/>
            <w:bookmarkEnd w:id="6"/>
            <w:bookmarkEnd w:id="7"/>
            <w:r w:rsidRPr="007071F7">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14:paraId="438DD4FC" w14:textId="77777777" w:rsidR="007071F7" w:rsidRPr="007071F7" w:rsidRDefault="007071F7" w:rsidP="007071F7">
            <w:pPr>
              <w:spacing w:before="100" w:after="100" w:line="240" w:lineRule="auto"/>
              <w:jc w:val="center"/>
              <w:rPr>
                <w:rFonts w:ascii="Times New Roman" w:eastAsia="Times New Roman" w:hAnsi="Times New Roman" w:cs="Times New Roman"/>
                <w:sz w:val="24"/>
                <w:szCs w:val="24"/>
                <w:lang w:eastAsia="ru-RU"/>
              </w:rPr>
            </w:pPr>
            <w:r w:rsidRPr="007071F7">
              <w:rPr>
                <w:rFonts w:ascii="Times New Roman" w:eastAsia="Times New Roman" w:hAnsi="Times New Roman" w:cs="Times New Roman"/>
                <w:b/>
                <w:bCs/>
                <w:sz w:val="24"/>
                <w:szCs w:val="24"/>
                <w:lang w:eastAsia="ru-RU"/>
              </w:rPr>
              <w:t>ЗАТВЕРДЖЕНО</w:t>
            </w:r>
            <w:r w:rsidRPr="007071F7">
              <w:rPr>
                <w:rFonts w:ascii="Times New Roman" w:eastAsia="Times New Roman" w:hAnsi="Times New Roman" w:cs="Times New Roman"/>
                <w:sz w:val="24"/>
                <w:szCs w:val="24"/>
                <w:lang w:eastAsia="ru-RU"/>
              </w:rPr>
              <w:br/>
            </w:r>
            <w:r w:rsidRPr="007071F7">
              <w:rPr>
                <w:rFonts w:ascii="Times New Roman" w:eastAsia="Times New Roman" w:hAnsi="Times New Roman" w:cs="Times New Roman"/>
                <w:b/>
                <w:bCs/>
                <w:sz w:val="24"/>
                <w:szCs w:val="24"/>
                <w:lang w:eastAsia="ru-RU"/>
              </w:rPr>
              <w:t>постановою Кабінету Міністрів України</w:t>
            </w:r>
            <w:r w:rsidRPr="007071F7">
              <w:rPr>
                <w:rFonts w:ascii="Times New Roman" w:eastAsia="Times New Roman" w:hAnsi="Times New Roman" w:cs="Times New Roman"/>
                <w:sz w:val="24"/>
                <w:szCs w:val="24"/>
                <w:lang w:eastAsia="ru-RU"/>
              </w:rPr>
              <w:br/>
            </w:r>
            <w:r w:rsidRPr="007071F7">
              <w:rPr>
                <w:rFonts w:ascii="Times New Roman" w:eastAsia="Times New Roman" w:hAnsi="Times New Roman" w:cs="Times New Roman"/>
                <w:b/>
                <w:bCs/>
                <w:sz w:val="24"/>
                <w:szCs w:val="24"/>
                <w:lang w:eastAsia="ru-RU"/>
              </w:rPr>
              <w:t>від 22 серпня 2023 р. № 896</w:t>
            </w:r>
          </w:p>
        </w:tc>
      </w:tr>
    </w:tbl>
    <w:p w14:paraId="68BB0685" w14:textId="77777777" w:rsidR="007071F7" w:rsidRPr="007071F7" w:rsidRDefault="007071F7" w:rsidP="007071F7">
      <w:pPr>
        <w:shd w:val="clear" w:color="auto" w:fill="FFFFFF"/>
        <w:spacing w:before="200" w:after="300" w:line="240" w:lineRule="auto"/>
        <w:ind w:left="300" w:right="300"/>
        <w:jc w:val="center"/>
        <w:rPr>
          <w:rFonts w:ascii="Times New Roman" w:eastAsia="Times New Roman" w:hAnsi="Times New Roman" w:cs="Times New Roman"/>
          <w:color w:val="333333"/>
          <w:sz w:val="16"/>
          <w:szCs w:val="16"/>
          <w:lang w:eastAsia="ru-RU"/>
        </w:rPr>
      </w:pPr>
      <w:bookmarkStart w:id="8" w:name="n12"/>
      <w:bookmarkEnd w:id="8"/>
      <w:r w:rsidRPr="007071F7">
        <w:rPr>
          <w:rFonts w:ascii="Times New Roman" w:eastAsia="Times New Roman" w:hAnsi="Times New Roman" w:cs="Times New Roman"/>
          <w:b/>
          <w:bCs/>
          <w:color w:val="333333"/>
          <w:sz w:val="32"/>
          <w:lang w:eastAsia="ru-RU"/>
        </w:rPr>
        <w:t>ЗМІНИ,</w:t>
      </w:r>
      <w:r w:rsidRPr="007071F7">
        <w:rPr>
          <w:rFonts w:ascii="Times New Roman" w:eastAsia="Times New Roman" w:hAnsi="Times New Roman" w:cs="Times New Roman"/>
          <w:color w:val="333333"/>
          <w:sz w:val="16"/>
          <w:szCs w:val="16"/>
          <w:lang w:eastAsia="ru-RU"/>
        </w:rPr>
        <w:br/>
      </w:r>
      <w:r w:rsidRPr="007071F7">
        <w:rPr>
          <w:rFonts w:ascii="Times New Roman" w:eastAsia="Times New Roman" w:hAnsi="Times New Roman" w:cs="Times New Roman"/>
          <w:b/>
          <w:bCs/>
          <w:color w:val="333333"/>
          <w:sz w:val="32"/>
          <w:lang w:eastAsia="ru-RU"/>
        </w:rPr>
        <w:t>що вносяться до постанов Кабінету Міністрів України від 1 червня 2011 р. </w:t>
      </w:r>
      <w:hyperlink r:id="rId9" w:tgtFrame="_blank" w:history="1">
        <w:r w:rsidRPr="007071F7">
          <w:rPr>
            <w:rFonts w:ascii="Times New Roman" w:eastAsia="Times New Roman" w:hAnsi="Times New Roman" w:cs="Times New Roman"/>
            <w:b/>
            <w:bCs/>
            <w:color w:val="000099"/>
            <w:sz w:val="32"/>
            <w:u w:val="single"/>
            <w:lang w:eastAsia="ru-RU"/>
          </w:rPr>
          <w:t>№ 869</w:t>
        </w:r>
      </w:hyperlink>
      <w:r w:rsidRPr="007071F7">
        <w:rPr>
          <w:rFonts w:ascii="Times New Roman" w:eastAsia="Times New Roman" w:hAnsi="Times New Roman" w:cs="Times New Roman"/>
          <w:b/>
          <w:bCs/>
          <w:color w:val="333333"/>
          <w:sz w:val="32"/>
          <w:lang w:eastAsia="ru-RU"/>
        </w:rPr>
        <w:t> і від 19 липня 2022 р. </w:t>
      </w:r>
      <w:hyperlink r:id="rId10" w:tgtFrame="_blank" w:history="1">
        <w:r w:rsidRPr="007071F7">
          <w:rPr>
            <w:rFonts w:ascii="Times New Roman" w:eastAsia="Times New Roman" w:hAnsi="Times New Roman" w:cs="Times New Roman"/>
            <w:b/>
            <w:bCs/>
            <w:color w:val="000099"/>
            <w:sz w:val="32"/>
            <w:u w:val="single"/>
            <w:lang w:eastAsia="ru-RU"/>
          </w:rPr>
          <w:t>№ 812</w:t>
        </w:r>
      </w:hyperlink>
    </w:p>
    <w:p w14:paraId="69F5FB40"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9" w:name="n13"/>
      <w:bookmarkEnd w:id="9"/>
      <w:r w:rsidRPr="007071F7">
        <w:rPr>
          <w:rFonts w:ascii="Times New Roman" w:eastAsia="Times New Roman" w:hAnsi="Times New Roman" w:cs="Times New Roman"/>
          <w:color w:val="333333"/>
          <w:sz w:val="16"/>
          <w:szCs w:val="16"/>
          <w:lang w:eastAsia="ru-RU"/>
        </w:rPr>
        <w:t>1. </w:t>
      </w:r>
      <w:hyperlink r:id="rId11" w:anchor="n1383" w:tgtFrame="_blank" w:history="1">
        <w:r w:rsidRPr="007071F7">
          <w:rPr>
            <w:rFonts w:ascii="Times New Roman" w:eastAsia="Times New Roman" w:hAnsi="Times New Roman" w:cs="Times New Roman"/>
            <w:color w:val="000099"/>
            <w:sz w:val="24"/>
            <w:szCs w:val="24"/>
            <w:u w:val="single"/>
            <w:lang w:eastAsia="ru-RU"/>
          </w:rPr>
          <w:t>Підпункт 1</w:t>
        </w:r>
      </w:hyperlink>
      <w:r w:rsidRPr="007071F7">
        <w:rPr>
          <w:rFonts w:ascii="Times New Roman" w:eastAsia="Times New Roman" w:hAnsi="Times New Roman" w:cs="Times New Roman"/>
          <w:color w:val="333333"/>
          <w:sz w:val="16"/>
          <w:szCs w:val="16"/>
          <w:lang w:eastAsia="ru-RU"/>
        </w:rPr>
        <w:t> пункту 21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від 1 червня 2011 р. № 869, після абзацу четвертого доповнити новим абзацом такого змісту:</w:t>
      </w:r>
    </w:p>
    <w:p w14:paraId="1CB4A569"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0" w:name="n14"/>
      <w:bookmarkEnd w:id="10"/>
      <w:r w:rsidRPr="007071F7">
        <w:rPr>
          <w:rFonts w:ascii="Times New Roman" w:eastAsia="Times New Roman" w:hAnsi="Times New Roman" w:cs="Times New Roman"/>
          <w:color w:val="333333"/>
          <w:sz w:val="16"/>
          <w:szCs w:val="16"/>
          <w:lang w:eastAsia="ru-RU"/>
        </w:rPr>
        <w:t>“на оплату послуги із зберігання (закачування, відбору) природного газу, що визначаються згідно з тарифами, встановленими НКРЕКП;”.</w:t>
      </w:r>
    </w:p>
    <w:p w14:paraId="593A7AD8"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1" w:name="n15"/>
      <w:bookmarkEnd w:id="11"/>
      <w:r w:rsidRPr="007071F7">
        <w:rPr>
          <w:rFonts w:ascii="Times New Roman" w:eastAsia="Times New Roman" w:hAnsi="Times New Roman" w:cs="Times New Roman"/>
          <w:color w:val="333333"/>
          <w:sz w:val="16"/>
          <w:szCs w:val="16"/>
          <w:lang w:eastAsia="ru-RU"/>
        </w:rPr>
        <w:t>У зв’язку з цим абзаци п’ятий - восьмий вважати відповідно абзацами шостим - дев’ятим.</w:t>
      </w:r>
    </w:p>
    <w:p w14:paraId="3387982C"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2" w:name="n16"/>
      <w:bookmarkEnd w:id="12"/>
      <w:r w:rsidRPr="007071F7">
        <w:rPr>
          <w:rFonts w:ascii="Times New Roman" w:eastAsia="Times New Roman" w:hAnsi="Times New Roman" w:cs="Times New Roman"/>
          <w:color w:val="333333"/>
          <w:sz w:val="16"/>
          <w:szCs w:val="16"/>
          <w:lang w:eastAsia="ru-RU"/>
        </w:rPr>
        <w:t>2. У постанові Кабінету Міністрів України від 19 липня 2022 р. </w:t>
      </w:r>
      <w:hyperlink r:id="rId12" w:tgtFrame="_blank" w:history="1">
        <w:r w:rsidRPr="007071F7">
          <w:rPr>
            <w:rFonts w:ascii="Times New Roman" w:eastAsia="Times New Roman" w:hAnsi="Times New Roman" w:cs="Times New Roman"/>
            <w:color w:val="000099"/>
            <w:sz w:val="24"/>
            <w:szCs w:val="24"/>
            <w:u w:val="single"/>
            <w:lang w:eastAsia="ru-RU"/>
          </w:rPr>
          <w:t>№ 812</w:t>
        </w:r>
      </w:hyperlink>
      <w:r w:rsidRPr="007071F7">
        <w:rPr>
          <w:rFonts w:ascii="Times New Roman" w:eastAsia="Times New Roman" w:hAnsi="Times New Roman" w:cs="Times New Roman"/>
          <w:color w:val="333333"/>
          <w:sz w:val="16"/>
          <w:szCs w:val="16"/>
          <w:lang w:eastAsia="ru-RU"/>
        </w:rPr>
        <w:t>:</w:t>
      </w:r>
    </w:p>
    <w:p w14:paraId="73E59271"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3" w:name="n17"/>
      <w:bookmarkEnd w:id="13"/>
      <w:r w:rsidRPr="007071F7">
        <w:rPr>
          <w:rFonts w:ascii="Times New Roman" w:eastAsia="Times New Roman" w:hAnsi="Times New Roman" w:cs="Times New Roman"/>
          <w:color w:val="333333"/>
          <w:sz w:val="16"/>
          <w:szCs w:val="16"/>
          <w:lang w:eastAsia="ru-RU"/>
        </w:rPr>
        <w:t>1) у </w:t>
      </w:r>
      <w:hyperlink r:id="rId13" w:tgtFrame="_blank" w:history="1">
        <w:r w:rsidRPr="007071F7">
          <w:rPr>
            <w:rFonts w:ascii="Times New Roman" w:eastAsia="Times New Roman" w:hAnsi="Times New Roman" w:cs="Times New Roman"/>
            <w:color w:val="000099"/>
            <w:sz w:val="24"/>
            <w:szCs w:val="24"/>
            <w:u w:val="single"/>
            <w:lang w:eastAsia="ru-RU"/>
          </w:rPr>
          <w:t>постанові</w:t>
        </w:r>
      </w:hyperlink>
      <w:r w:rsidRPr="007071F7">
        <w:rPr>
          <w:rFonts w:ascii="Times New Roman" w:eastAsia="Times New Roman" w:hAnsi="Times New Roman" w:cs="Times New Roman"/>
          <w:color w:val="333333"/>
          <w:sz w:val="16"/>
          <w:szCs w:val="16"/>
          <w:lang w:eastAsia="ru-RU"/>
        </w:rPr>
        <w:t>:</w:t>
      </w:r>
    </w:p>
    <w:p w14:paraId="492FFDAC"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4" w:name="n18"/>
      <w:bookmarkEnd w:id="14"/>
      <w:r w:rsidRPr="007071F7">
        <w:rPr>
          <w:rFonts w:ascii="Times New Roman" w:eastAsia="Times New Roman" w:hAnsi="Times New Roman" w:cs="Times New Roman"/>
          <w:color w:val="333333"/>
          <w:sz w:val="16"/>
          <w:szCs w:val="16"/>
          <w:lang w:eastAsia="ru-RU"/>
        </w:rPr>
        <w:t>доповнити постанову пунктами 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6</w:t>
      </w:r>
      <w:r w:rsidRPr="007071F7">
        <w:rPr>
          <w:rFonts w:ascii="Times New Roman" w:eastAsia="Times New Roman" w:hAnsi="Times New Roman" w:cs="Times New Roman"/>
          <w:color w:val="333333"/>
          <w:sz w:val="16"/>
          <w:szCs w:val="16"/>
          <w:lang w:eastAsia="ru-RU"/>
        </w:rPr>
        <w:t> такого змісту:</w:t>
      </w:r>
    </w:p>
    <w:p w14:paraId="51239CCE"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5" w:name="n19"/>
      <w:bookmarkEnd w:id="15"/>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 Установити, що:</w:t>
      </w:r>
    </w:p>
    <w:p w14:paraId="5E436533"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6" w:name="n20"/>
      <w:bookmarkEnd w:id="16"/>
      <w:r w:rsidRPr="007071F7">
        <w:rPr>
          <w:rFonts w:ascii="Times New Roman" w:eastAsia="Times New Roman" w:hAnsi="Times New Roman" w:cs="Times New Roman"/>
          <w:color w:val="333333"/>
          <w:sz w:val="16"/>
          <w:szCs w:val="16"/>
          <w:lang w:eastAsia="ru-RU"/>
        </w:rPr>
        <w:lastRenderedPageBreak/>
        <w:t>1) плата споживачів за теплову енергію, послуги з постачання теплової енергії та постачання гарячої води теплопостачальним та теплогенеруючим організаціям, які включені до реєстру підприємств, що беруть участь у процедурі врегулювання заборгованості згідно із </w:t>
      </w:r>
      <w:hyperlink r:id="rId14"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та які мають заборгованість за спожитий природний газ перед товариством з обмеженою відповідальністю “Газопостачальна компанія “Нафтогаз Трейдинг” (далі - теплопостачальні та теплогенеруючі організації) і які після 1 вересня 2023 р. придбавають природний газ у постачальника природного газу, на якого Кабінетом Міністрів України покладено спеціальні обов’язки відповідно до </w:t>
      </w:r>
      <w:hyperlink r:id="rId15" w:tgtFrame="_blank" w:history="1">
        <w:r w:rsidRPr="007071F7">
          <w:rPr>
            <w:rFonts w:ascii="Times New Roman" w:eastAsia="Times New Roman" w:hAnsi="Times New Roman" w:cs="Times New Roman"/>
            <w:color w:val="000099"/>
            <w:sz w:val="24"/>
            <w:szCs w:val="24"/>
            <w:u w:val="single"/>
            <w:lang w:eastAsia="ru-RU"/>
          </w:rPr>
          <w:t>Закону України</w:t>
        </w:r>
      </w:hyperlink>
      <w:r w:rsidRPr="007071F7">
        <w:rPr>
          <w:rFonts w:ascii="Times New Roman" w:eastAsia="Times New Roman" w:hAnsi="Times New Roman" w:cs="Times New Roman"/>
          <w:color w:val="333333"/>
          <w:sz w:val="16"/>
          <w:szCs w:val="16"/>
          <w:lang w:eastAsia="ru-RU"/>
        </w:rPr>
        <w:t> “Про ринок природного газу”, що надходить на поточні рахунки в банках, відкриті на ім’я цих теплопостачальних та теплогенеруючих організацій, перераховується згідно з укладеними з банками договорами перерахування коштів на небюджетні рахунки зазначених теплопостачальних та теплогенеруючих організацій, відкриті в органах Державної казначейської служби (далі - Казначейство);</w:t>
      </w:r>
    </w:p>
    <w:p w14:paraId="5A8E319D"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7" w:name="n21"/>
      <w:bookmarkEnd w:id="17"/>
      <w:r w:rsidRPr="007071F7">
        <w:rPr>
          <w:rFonts w:ascii="Times New Roman" w:eastAsia="Times New Roman" w:hAnsi="Times New Roman" w:cs="Times New Roman"/>
          <w:color w:val="333333"/>
          <w:sz w:val="16"/>
          <w:szCs w:val="16"/>
          <w:lang w:eastAsia="ru-RU"/>
        </w:rPr>
        <w:t>2) товариство з обмеженою відповідальністю “Газопостачальна компанія “Нафтогаз Трейдинг” і теплопостачальні та теплогенеруючі організації, які мають намір придбавати природний газ у постачальника, на якого Кабінетом Міністрів України покладено спеціальні обов’язки відповідно до </w:t>
      </w:r>
      <w:hyperlink r:id="rId16" w:tgtFrame="_blank" w:history="1">
        <w:r w:rsidRPr="007071F7">
          <w:rPr>
            <w:rFonts w:ascii="Times New Roman" w:eastAsia="Times New Roman" w:hAnsi="Times New Roman" w:cs="Times New Roman"/>
            <w:color w:val="000099"/>
            <w:sz w:val="24"/>
            <w:szCs w:val="24"/>
            <w:u w:val="single"/>
            <w:lang w:eastAsia="ru-RU"/>
          </w:rPr>
          <w:t>Закону України</w:t>
        </w:r>
      </w:hyperlink>
      <w:r w:rsidRPr="007071F7">
        <w:rPr>
          <w:rFonts w:ascii="Times New Roman" w:eastAsia="Times New Roman" w:hAnsi="Times New Roman" w:cs="Times New Roman"/>
          <w:color w:val="333333"/>
          <w:sz w:val="16"/>
          <w:szCs w:val="16"/>
          <w:lang w:eastAsia="ru-RU"/>
        </w:rPr>
        <w:t> “Про ринок природного газу”, відкривають в органах Казначейства небюджетні рахунки.</w:t>
      </w:r>
    </w:p>
    <w:p w14:paraId="1C1236F1"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8" w:name="n22"/>
      <w:bookmarkEnd w:id="18"/>
      <w:r w:rsidRPr="007071F7">
        <w:rPr>
          <w:rFonts w:ascii="Times New Roman" w:eastAsia="Times New Roman" w:hAnsi="Times New Roman" w:cs="Times New Roman"/>
          <w:color w:val="333333"/>
          <w:sz w:val="16"/>
          <w:szCs w:val="16"/>
          <w:lang w:eastAsia="ru-RU"/>
        </w:rPr>
        <w:t>Теплопостачальні та теплогенеруючі організації відкривають в органах Казначейства два небюджетних рахунки:</w:t>
      </w:r>
    </w:p>
    <w:p w14:paraId="01D28C67"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19" w:name="n23"/>
      <w:bookmarkEnd w:id="19"/>
      <w:r w:rsidRPr="007071F7">
        <w:rPr>
          <w:rFonts w:ascii="Times New Roman" w:eastAsia="Times New Roman" w:hAnsi="Times New Roman" w:cs="Times New Roman"/>
          <w:color w:val="333333"/>
          <w:sz w:val="16"/>
          <w:szCs w:val="16"/>
          <w:lang w:eastAsia="ru-RU"/>
        </w:rPr>
        <w:t>для розподілу коштів, що надійшли на небюджетні рахунки теплопостачальних та теплогенеруючих організацій, з поточних рахунків, відкритих у банках;</w:t>
      </w:r>
    </w:p>
    <w:p w14:paraId="0560FE86"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0" w:name="n24"/>
      <w:bookmarkEnd w:id="20"/>
      <w:r w:rsidRPr="007071F7">
        <w:rPr>
          <w:rFonts w:ascii="Times New Roman" w:eastAsia="Times New Roman" w:hAnsi="Times New Roman" w:cs="Times New Roman"/>
          <w:color w:val="333333"/>
          <w:sz w:val="16"/>
          <w:szCs w:val="16"/>
          <w:lang w:eastAsia="ru-RU"/>
        </w:rPr>
        <w:t>для проведення платежів теплопостачальними та теплогенеруючими організаціями;</w:t>
      </w:r>
    </w:p>
    <w:p w14:paraId="75110982"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1" w:name="n25"/>
      <w:bookmarkEnd w:id="21"/>
      <w:r w:rsidRPr="007071F7">
        <w:rPr>
          <w:rFonts w:ascii="Times New Roman" w:eastAsia="Times New Roman" w:hAnsi="Times New Roman" w:cs="Times New Roman"/>
          <w:color w:val="333333"/>
          <w:sz w:val="16"/>
          <w:szCs w:val="16"/>
          <w:lang w:eastAsia="ru-RU"/>
        </w:rPr>
        <w:t>3) теплопостачальні та теплогенеруючі організації після відкриття небюджетних рахунків в органах Казначейства, на які перераховується плата споживачів за теплову енергію, послуги з постачання теплової енергії та постачання гарячої води, зобов’язані надати реквізити зазначених рахунків банкам, у яких відкрито поточні рахунки для зарахування плати за теплову енергію, послуги з постачання теплової енергії від споживачів;</w:t>
      </w:r>
    </w:p>
    <w:p w14:paraId="29A6C537"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2" w:name="n26"/>
      <w:bookmarkEnd w:id="22"/>
      <w:r w:rsidRPr="007071F7">
        <w:rPr>
          <w:rFonts w:ascii="Times New Roman" w:eastAsia="Times New Roman" w:hAnsi="Times New Roman" w:cs="Times New Roman"/>
          <w:color w:val="333333"/>
          <w:sz w:val="16"/>
          <w:szCs w:val="16"/>
          <w:lang w:eastAsia="ru-RU"/>
        </w:rPr>
        <w:t>4) товариство з обмеженою відповідальністю “Газопостачальна компанія “Нафтогаз Трейдинг” надає до 15 числа кожного місяця (починаючи з серпня 2023 р.) Міністерству розвитку громад, територій та інфраструктури інформацію про заборгованість виробників теплової енергії за спожитий природний газ для виробництва теплової енергії, надання послуг з постачання теплової енергії та постачання гарячої води, що обліковується перед товариством з обмеженою відповідальністю “Газопостачальна компанія “Нафтогаз Трейдинг”;</w:t>
      </w:r>
    </w:p>
    <w:p w14:paraId="7DE8A96A"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3" w:name="n27"/>
      <w:bookmarkEnd w:id="23"/>
      <w:r w:rsidRPr="007071F7">
        <w:rPr>
          <w:rFonts w:ascii="Times New Roman" w:eastAsia="Times New Roman" w:hAnsi="Times New Roman" w:cs="Times New Roman"/>
          <w:color w:val="333333"/>
          <w:sz w:val="16"/>
          <w:szCs w:val="16"/>
          <w:lang w:eastAsia="ru-RU"/>
        </w:rPr>
        <w:t>5) Міністерство розвитку громад, територій та інфраструктури до 17 числа кожного місяця (починаючи з серпня 2023 р.) з урахуванням інформації, зазначеної в підпункті 4 цього пункту, визначає перелік теплопостачальних та теплогенеруючих організацій, що підпадають під вимоги підпункту 1 цього пункту (із зазначенням найменування та ідентифікаційного коду юридичної особи згідно з Єдиним державним реєстром підприємств та організацій України), та надсилає такий перелік Казначейству і банкам. У разі зміни зазначеного переліку Міністерство розвитку громад, територій та інфраструктури інформує про це Казначейство та банки не пізніше ніж протягом наступного робочого дня;</w:t>
      </w:r>
    </w:p>
    <w:p w14:paraId="61B850ED"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4" w:name="n28"/>
      <w:bookmarkEnd w:id="24"/>
      <w:r w:rsidRPr="007071F7">
        <w:rPr>
          <w:rFonts w:ascii="Times New Roman" w:eastAsia="Times New Roman" w:hAnsi="Times New Roman" w:cs="Times New Roman"/>
          <w:color w:val="333333"/>
          <w:sz w:val="16"/>
          <w:szCs w:val="16"/>
          <w:lang w:eastAsia="ru-RU"/>
        </w:rPr>
        <w:t>6) у разі виключення теплопостачальних та теплогенеруючих організацій із реєстру підприємств, що беруть участь у процедурі врегулювання заборгованості згідно із </w:t>
      </w:r>
      <w:hyperlink r:id="rId17"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після відкриття ними небюджетних рахунків в органах Казначейства такі організації придбавають природний газ у постачальника, на якого Кабінетом Міністрів України покладено спеціальні обов’язки відповідно до </w:t>
      </w:r>
      <w:hyperlink r:id="rId18" w:tgtFrame="_blank" w:history="1">
        <w:r w:rsidRPr="007071F7">
          <w:rPr>
            <w:rFonts w:ascii="Times New Roman" w:eastAsia="Times New Roman" w:hAnsi="Times New Roman" w:cs="Times New Roman"/>
            <w:color w:val="000099"/>
            <w:sz w:val="24"/>
            <w:szCs w:val="24"/>
            <w:u w:val="single"/>
            <w:lang w:eastAsia="ru-RU"/>
          </w:rPr>
          <w:t>Закону України</w:t>
        </w:r>
      </w:hyperlink>
      <w:r w:rsidRPr="007071F7">
        <w:rPr>
          <w:rFonts w:ascii="Times New Roman" w:eastAsia="Times New Roman" w:hAnsi="Times New Roman" w:cs="Times New Roman"/>
          <w:color w:val="333333"/>
          <w:sz w:val="16"/>
          <w:szCs w:val="16"/>
          <w:lang w:eastAsia="ru-RU"/>
        </w:rPr>
        <w:t> “Про ринок природного газу”, з використанням небюджетних рахунків, відкритих в органах Казначейства;</w:t>
      </w:r>
    </w:p>
    <w:p w14:paraId="77057307"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5" w:name="n29"/>
      <w:bookmarkEnd w:id="25"/>
      <w:r w:rsidRPr="007071F7">
        <w:rPr>
          <w:rFonts w:ascii="Times New Roman" w:eastAsia="Times New Roman" w:hAnsi="Times New Roman" w:cs="Times New Roman"/>
          <w:color w:val="333333"/>
          <w:sz w:val="16"/>
          <w:szCs w:val="16"/>
          <w:lang w:eastAsia="ru-RU"/>
        </w:rPr>
        <w:t>7) теплопостачальні та теплогенеруючі організації, які включено до реєстру підприємств, що беруть участь у процедурі врегулювання заборгованості згідно із </w:t>
      </w:r>
      <w:hyperlink r:id="rId19"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після 1 вересня 2023 р. та які придбавають (або мають намір придбавати) природний газ у постачальника, на якого Кабінетом Міністрів України покладено спеціальні обов’язки відповідно до </w:t>
      </w:r>
      <w:hyperlink r:id="rId20" w:tgtFrame="_blank" w:history="1">
        <w:r w:rsidRPr="007071F7">
          <w:rPr>
            <w:rFonts w:ascii="Times New Roman" w:eastAsia="Times New Roman" w:hAnsi="Times New Roman" w:cs="Times New Roman"/>
            <w:color w:val="000099"/>
            <w:sz w:val="24"/>
            <w:szCs w:val="24"/>
            <w:u w:val="single"/>
            <w:lang w:eastAsia="ru-RU"/>
          </w:rPr>
          <w:t>Закону України</w:t>
        </w:r>
      </w:hyperlink>
      <w:r w:rsidRPr="007071F7">
        <w:rPr>
          <w:rFonts w:ascii="Times New Roman" w:eastAsia="Times New Roman" w:hAnsi="Times New Roman" w:cs="Times New Roman"/>
          <w:color w:val="333333"/>
          <w:sz w:val="16"/>
          <w:szCs w:val="16"/>
          <w:lang w:eastAsia="ru-RU"/>
        </w:rPr>
        <w:t> “Про ринок природного газу”, зобов’язані протягом п’яти робочих днів з дати включення їх до зазначеного реєстру відкрити в органах Казначейства небюджетні рахунки для розподілу коштів, що надійшли на їх поточні рахунки, відкриті в банках, у вигляді плати за теплову енергію, послуги з постачання теплової енергії та постачання гарячої води та для проведення відповідних платежів;</w:t>
      </w:r>
    </w:p>
    <w:p w14:paraId="271AD911"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6" w:name="n30"/>
      <w:bookmarkEnd w:id="26"/>
      <w:r w:rsidRPr="007071F7">
        <w:rPr>
          <w:rFonts w:ascii="Times New Roman" w:eastAsia="Times New Roman" w:hAnsi="Times New Roman" w:cs="Times New Roman"/>
          <w:color w:val="333333"/>
          <w:sz w:val="16"/>
          <w:szCs w:val="16"/>
          <w:lang w:eastAsia="ru-RU"/>
        </w:rPr>
        <w:t>8) кошти, що надійшли від споживачів у вигляді плати за теплову енергію, послуги з постачання теплової енергії та постачання гарячої води протягом операційного дня на поточні рахунки у банку теплопостачальних та теплогенеруючих організацій, що відкрили відповідно до підпункту 1 цього пункту небюджетні рахунки в органах Казначейства, щоденно не пізніше 10-ї години дня, що настає за операційним днем (крім вихідних та святкових), перераховуються банками однією сумою в повному обсязі на небюджетні рахунки цих теплопостачальних та теплогенеруючих організацій, відкриті в органах Казначейства;</w:t>
      </w:r>
    </w:p>
    <w:p w14:paraId="4C062F07"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7" w:name="n31"/>
      <w:bookmarkEnd w:id="27"/>
      <w:r w:rsidRPr="007071F7">
        <w:rPr>
          <w:rFonts w:ascii="Times New Roman" w:eastAsia="Times New Roman" w:hAnsi="Times New Roman" w:cs="Times New Roman"/>
          <w:color w:val="333333"/>
          <w:sz w:val="16"/>
          <w:szCs w:val="16"/>
          <w:lang w:eastAsia="ru-RU"/>
        </w:rPr>
        <w:t>9) Казначейство надає до 5 вересня 2023 р. Міністерству розвитку громад, територій та інфраструктури перелік теплопостачальних та теплогенеруючих організацій, які відкрили небюджетні рахунки в органах Казначейства. У разі зміни зазначеного переліку Казначейство не пізніше ніж протягом трьох робочих днів після виникнення відповідних змін інформує про це Міністерство розвитку громад, територій та інфраструктури;</w:t>
      </w:r>
    </w:p>
    <w:p w14:paraId="2446EED2"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8" w:name="n32"/>
      <w:bookmarkEnd w:id="28"/>
      <w:r w:rsidRPr="007071F7">
        <w:rPr>
          <w:rFonts w:ascii="Times New Roman" w:eastAsia="Times New Roman" w:hAnsi="Times New Roman" w:cs="Times New Roman"/>
          <w:color w:val="333333"/>
          <w:sz w:val="16"/>
          <w:szCs w:val="16"/>
          <w:lang w:eastAsia="ru-RU"/>
        </w:rPr>
        <w:t>10) кошти, що надійшли від банків протягом поточного операційного дня на небюджетні рахунки теплопостачальних та теплогенеруючих організацій для розподілу, перераховуються органами Казначейства о 17-й годині згідно з таким розподілом:</w:t>
      </w:r>
    </w:p>
    <w:p w14:paraId="5044A882"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29" w:name="n33"/>
      <w:bookmarkEnd w:id="29"/>
      <w:r w:rsidRPr="007071F7">
        <w:rPr>
          <w:rFonts w:ascii="Times New Roman" w:eastAsia="Times New Roman" w:hAnsi="Times New Roman" w:cs="Times New Roman"/>
          <w:color w:val="333333"/>
          <w:sz w:val="16"/>
          <w:szCs w:val="16"/>
          <w:lang w:eastAsia="ru-RU"/>
        </w:rPr>
        <w:t>65 відсотків - на небюджетний рахунок товариства з обмеженою відповідальністю “Газопостачальна компанія “Нафтогаз Трейдинг”, відкритий в органі Казначейства;</w:t>
      </w:r>
    </w:p>
    <w:p w14:paraId="7501623C"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0" w:name="n34"/>
      <w:bookmarkEnd w:id="30"/>
      <w:r w:rsidRPr="007071F7">
        <w:rPr>
          <w:rFonts w:ascii="Times New Roman" w:eastAsia="Times New Roman" w:hAnsi="Times New Roman" w:cs="Times New Roman"/>
          <w:color w:val="333333"/>
          <w:sz w:val="16"/>
          <w:szCs w:val="16"/>
          <w:lang w:eastAsia="ru-RU"/>
        </w:rPr>
        <w:t>35 відсотків - на небюджетні рахунки теплопостачальних та теплогенеруючих організацій, відкриті в органах Казначейства для проведення платежів;</w:t>
      </w:r>
    </w:p>
    <w:p w14:paraId="51227DEC"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1" w:name="n35"/>
      <w:bookmarkEnd w:id="31"/>
      <w:r w:rsidRPr="007071F7">
        <w:rPr>
          <w:rFonts w:ascii="Times New Roman" w:eastAsia="Times New Roman" w:hAnsi="Times New Roman" w:cs="Times New Roman"/>
          <w:color w:val="333333"/>
          <w:sz w:val="16"/>
          <w:szCs w:val="16"/>
          <w:lang w:eastAsia="ru-RU"/>
        </w:rPr>
        <w:t>11) для проведення платежів товариство з обмеженою відповідальністю “Газопостачальна компанія “Нафтогаз Трейдинг”, теплопостачальні та теплогенеруючі організації подають органам Казначейства:</w:t>
      </w:r>
    </w:p>
    <w:p w14:paraId="3345B6C1"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2" w:name="n36"/>
      <w:bookmarkEnd w:id="32"/>
      <w:r w:rsidRPr="007071F7">
        <w:rPr>
          <w:rFonts w:ascii="Times New Roman" w:eastAsia="Times New Roman" w:hAnsi="Times New Roman" w:cs="Times New Roman"/>
          <w:color w:val="333333"/>
          <w:sz w:val="16"/>
          <w:szCs w:val="16"/>
          <w:lang w:eastAsia="ru-RU"/>
        </w:rPr>
        <w:lastRenderedPageBreak/>
        <w:t>платіжні інструкції, до яких додаються копії засвідчених в установленому порядку документів, які є підставою для здійснення платежів (договори про придбання товарів, виконання робіт, надання послуг, акти виконаних робіт, наданих послуг, кредитні договори, графіки погашення заборгованості, рішення суду, інші документи, які є підставою для здійснення платежів);</w:t>
      </w:r>
    </w:p>
    <w:p w14:paraId="1480D2CC"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3" w:name="n37"/>
      <w:bookmarkEnd w:id="33"/>
      <w:r w:rsidRPr="007071F7">
        <w:rPr>
          <w:rFonts w:ascii="Times New Roman" w:eastAsia="Times New Roman" w:hAnsi="Times New Roman" w:cs="Times New Roman"/>
          <w:color w:val="333333"/>
          <w:sz w:val="16"/>
          <w:szCs w:val="16"/>
          <w:lang w:eastAsia="ru-RU"/>
        </w:rPr>
        <w:t>у разі оплати матеріальних цінностей/послуг, придбаних/отриманих за готівку, - документи, які підтверджують здійснені видатки (акти про оприбуткування матеріальних цінностей чи акти наданих послуг, видаткові накладні, рахунки-фактури, авансові звіти тощо);</w:t>
      </w:r>
    </w:p>
    <w:p w14:paraId="2D2396EE"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4" w:name="n38"/>
      <w:bookmarkEnd w:id="34"/>
      <w:r w:rsidRPr="007071F7">
        <w:rPr>
          <w:rFonts w:ascii="Times New Roman" w:eastAsia="Times New Roman" w:hAnsi="Times New Roman" w:cs="Times New Roman"/>
          <w:color w:val="333333"/>
          <w:sz w:val="16"/>
          <w:szCs w:val="16"/>
          <w:lang w:eastAsia="ru-RU"/>
        </w:rPr>
        <w:t>у разі перерахування коштів на виплату заробітної плати та проведення інших розрахунків з персоналом і пов’язаних з ними обов’язкових відрахувань, платежів до бюджету - платіжні інструкції;</w:t>
      </w:r>
    </w:p>
    <w:p w14:paraId="4961F27D"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5" w:name="n39"/>
      <w:bookmarkEnd w:id="35"/>
      <w:r w:rsidRPr="007071F7">
        <w:rPr>
          <w:rFonts w:ascii="Times New Roman" w:eastAsia="Times New Roman" w:hAnsi="Times New Roman" w:cs="Times New Roman"/>
          <w:color w:val="333333"/>
          <w:sz w:val="16"/>
          <w:szCs w:val="16"/>
          <w:lang w:eastAsia="ru-RU"/>
        </w:rPr>
        <w:t>12) перерахування коштів органами Казначейства товариству з обмеженою відповідальністю “Газопостачальна компанія “Нафтогаз Трейдинг” та теплопостачальним та теплогенеруючим організаціям здійснюється в такій черговості:</w:t>
      </w:r>
    </w:p>
    <w:p w14:paraId="4DA090EF"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6" w:name="n40"/>
      <w:bookmarkEnd w:id="36"/>
      <w:r w:rsidRPr="007071F7">
        <w:rPr>
          <w:rFonts w:ascii="Times New Roman" w:eastAsia="Times New Roman" w:hAnsi="Times New Roman" w:cs="Times New Roman"/>
          <w:color w:val="333333"/>
          <w:sz w:val="16"/>
          <w:szCs w:val="16"/>
          <w:lang w:eastAsia="ru-RU"/>
        </w:rPr>
        <w:t>на виконання рішень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14:paraId="23E4ED67"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7" w:name="n41"/>
      <w:bookmarkEnd w:id="37"/>
      <w:r w:rsidRPr="007071F7">
        <w:rPr>
          <w:rFonts w:ascii="Times New Roman" w:eastAsia="Times New Roman" w:hAnsi="Times New Roman" w:cs="Times New Roman"/>
          <w:color w:val="333333"/>
          <w:sz w:val="16"/>
          <w:szCs w:val="16"/>
          <w:lang w:eastAsia="ru-RU"/>
        </w:rPr>
        <w:t>на виконання рішень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14:paraId="20745453"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8" w:name="n42"/>
      <w:bookmarkEnd w:id="38"/>
      <w:r w:rsidRPr="007071F7">
        <w:rPr>
          <w:rFonts w:ascii="Times New Roman" w:eastAsia="Times New Roman" w:hAnsi="Times New Roman" w:cs="Times New Roman"/>
          <w:color w:val="333333"/>
          <w:sz w:val="16"/>
          <w:szCs w:val="16"/>
          <w:lang w:eastAsia="ru-RU"/>
        </w:rPr>
        <w:t>на виконання інших рішень суду;</w:t>
      </w:r>
    </w:p>
    <w:p w14:paraId="29D3A7B4"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39" w:name="n43"/>
      <w:bookmarkEnd w:id="39"/>
      <w:r w:rsidRPr="007071F7">
        <w:rPr>
          <w:rFonts w:ascii="Times New Roman" w:eastAsia="Times New Roman" w:hAnsi="Times New Roman" w:cs="Times New Roman"/>
          <w:color w:val="333333"/>
          <w:sz w:val="16"/>
          <w:szCs w:val="16"/>
          <w:lang w:eastAsia="ru-RU"/>
        </w:rPr>
        <w:t>на здійснення платежів до бюджету і розрахунки з персоналом та пов’язані з ними обов’язкові відрахування, передбачені законодавством;</w:t>
      </w:r>
    </w:p>
    <w:p w14:paraId="37D57D08"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0" w:name="n44"/>
      <w:bookmarkEnd w:id="40"/>
      <w:r w:rsidRPr="007071F7">
        <w:rPr>
          <w:rFonts w:ascii="Times New Roman" w:eastAsia="Times New Roman" w:hAnsi="Times New Roman" w:cs="Times New Roman"/>
          <w:color w:val="333333"/>
          <w:sz w:val="16"/>
          <w:szCs w:val="16"/>
          <w:lang w:eastAsia="ru-RU"/>
        </w:rPr>
        <w:t>на здійснення платежів за кредитними договорами, а також графіками погашення заборгованості;</w:t>
      </w:r>
    </w:p>
    <w:p w14:paraId="142A712D"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1" w:name="n45"/>
      <w:bookmarkEnd w:id="41"/>
      <w:r w:rsidRPr="007071F7">
        <w:rPr>
          <w:rFonts w:ascii="Times New Roman" w:eastAsia="Times New Roman" w:hAnsi="Times New Roman" w:cs="Times New Roman"/>
          <w:color w:val="333333"/>
          <w:sz w:val="16"/>
          <w:szCs w:val="16"/>
          <w:lang w:eastAsia="ru-RU"/>
        </w:rPr>
        <w:t>на оплату товарів, робіт, послуг згідно з укладеними договорами, зокрема на закупівлю природного газу, оплату послуги з транспортування природного газу, за теплову енергію, електричну енергію, послуги з розподілу природного газу, послуги з централізованого водопостачання та централізованого водовідведення, на придбання палива (газу, мазуту, вугілля, торфу, дров, паливної тріски, соломи, соняшникового лушпиння, а також брикетів та пелет з них, інших видів палива);</w:t>
      </w:r>
    </w:p>
    <w:p w14:paraId="3B4499F3"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2" w:name="n46"/>
      <w:bookmarkEnd w:id="42"/>
      <w:r w:rsidRPr="007071F7">
        <w:rPr>
          <w:rFonts w:ascii="Times New Roman" w:eastAsia="Times New Roman" w:hAnsi="Times New Roman" w:cs="Times New Roman"/>
          <w:color w:val="333333"/>
          <w:sz w:val="16"/>
          <w:szCs w:val="16"/>
          <w:lang w:eastAsia="ru-RU"/>
        </w:rPr>
        <w:t>на здійснення платежів, пов’язаних із виконанням заходів з підготовки до опалювального сезону;</w:t>
      </w:r>
    </w:p>
    <w:p w14:paraId="51D2C782"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3" w:name="n47"/>
      <w:bookmarkEnd w:id="43"/>
      <w:r w:rsidRPr="007071F7">
        <w:rPr>
          <w:rFonts w:ascii="Times New Roman" w:eastAsia="Times New Roman" w:hAnsi="Times New Roman" w:cs="Times New Roman"/>
          <w:color w:val="333333"/>
          <w:sz w:val="16"/>
          <w:szCs w:val="16"/>
          <w:lang w:eastAsia="ru-RU"/>
        </w:rPr>
        <w:t>на здійснення інших платежів, пов’язаних із господарською діяльністю товариства з обмеженою відповідальністю “Газопостачальна компанія “Нафтогаз Трейдинг” і теплопостачальних та теплогенеруючих організацій;</w:t>
      </w:r>
    </w:p>
    <w:p w14:paraId="1E3CA3F7"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4" w:name="n48"/>
      <w:bookmarkEnd w:id="44"/>
      <w:r w:rsidRPr="007071F7">
        <w:rPr>
          <w:rFonts w:ascii="Times New Roman" w:eastAsia="Times New Roman" w:hAnsi="Times New Roman" w:cs="Times New Roman"/>
          <w:color w:val="333333"/>
          <w:sz w:val="16"/>
          <w:szCs w:val="16"/>
          <w:lang w:eastAsia="ru-RU"/>
        </w:rPr>
        <w:t>13) розрахунково-касове обслуговування теплопостачальних та теплогенеруючих організацій здійснюється органами Казначейства відповідно до умов договорів (додаткових угод) між органами Казначейства та товариством з обмеженою відповідальністю “Газопостачальна компанія “Нафтогаз Трейдинг”, теплопостачальними та теплогенеруючими організаціями;</w:t>
      </w:r>
    </w:p>
    <w:p w14:paraId="176AF720"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5" w:name="n49"/>
      <w:bookmarkEnd w:id="45"/>
      <w:r w:rsidRPr="007071F7">
        <w:rPr>
          <w:rFonts w:ascii="Times New Roman" w:eastAsia="Times New Roman" w:hAnsi="Times New Roman" w:cs="Times New Roman"/>
          <w:color w:val="333333"/>
          <w:sz w:val="16"/>
          <w:szCs w:val="16"/>
          <w:lang w:eastAsia="ru-RU"/>
        </w:rPr>
        <w:t>14) механізм розподілу та перерахування коштів теплопостачальним та теплогенеруючим організаціям органами Казначейства застосовується з 1 вересня по 31 грудня 2023 року.</w:t>
      </w:r>
    </w:p>
    <w:p w14:paraId="7D974988"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6" w:name="n50"/>
      <w:bookmarkEnd w:id="46"/>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2</w:t>
      </w:r>
      <w:r w:rsidRPr="007071F7">
        <w:rPr>
          <w:rFonts w:ascii="Times New Roman" w:eastAsia="Times New Roman" w:hAnsi="Times New Roman" w:cs="Times New Roman"/>
          <w:color w:val="333333"/>
          <w:sz w:val="16"/>
          <w:szCs w:val="16"/>
          <w:lang w:eastAsia="ru-RU"/>
        </w:rPr>
        <w:t>. Товариство з обмеженою відповідальністю “Газопостачальна компанія “Нафтогаз Трейдинг” надає Національній комісії, що здійснює державне регулювання у сферах енергетики та комунальних послуг:</w:t>
      </w:r>
    </w:p>
    <w:p w14:paraId="2FECEE7A"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7" w:name="n51"/>
      <w:bookmarkEnd w:id="47"/>
      <w:r w:rsidRPr="007071F7">
        <w:rPr>
          <w:rFonts w:ascii="Times New Roman" w:eastAsia="Times New Roman" w:hAnsi="Times New Roman" w:cs="Times New Roman"/>
          <w:color w:val="333333"/>
          <w:sz w:val="16"/>
          <w:szCs w:val="16"/>
          <w:lang w:eastAsia="ru-RU"/>
        </w:rPr>
        <w:t>до 1 жовтня 2023 р. - перелік ліцензіатів у сфері теплопостачання, з якими укладено договори постачання природного газу на опалювальний період 2023/24 року;</w:t>
      </w:r>
    </w:p>
    <w:p w14:paraId="2F8592C4"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8" w:name="n52"/>
      <w:bookmarkEnd w:id="48"/>
      <w:r w:rsidRPr="007071F7">
        <w:rPr>
          <w:rFonts w:ascii="Times New Roman" w:eastAsia="Times New Roman" w:hAnsi="Times New Roman" w:cs="Times New Roman"/>
          <w:color w:val="333333"/>
          <w:sz w:val="16"/>
          <w:szCs w:val="16"/>
          <w:lang w:eastAsia="ru-RU"/>
        </w:rPr>
        <w:t>до 17 числа місяця, що настає за звітним (перший звітний період - вересень 2023 р.), - обсяг заборгованості за використаний теплопостачальними та теплогенеруючими організаціями природний газ для виробництва теплової енергії і вартість природного газу, використаного теплопостачальними та теплогенеруючими організаціями для виробництва теплової енергії, надання послуг з постачання теплової енергії та постачання гарячої води за встановленими нею формами.</w:t>
      </w:r>
    </w:p>
    <w:p w14:paraId="325C37E1"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49" w:name="n53"/>
      <w:bookmarkEnd w:id="49"/>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3</w:t>
      </w:r>
      <w:r w:rsidRPr="007071F7">
        <w:rPr>
          <w:rFonts w:ascii="Times New Roman" w:eastAsia="Times New Roman" w:hAnsi="Times New Roman" w:cs="Times New Roman"/>
          <w:color w:val="333333"/>
          <w:sz w:val="16"/>
          <w:szCs w:val="16"/>
          <w:lang w:eastAsia="ru-RU"/>
        </w:rPr>
        <w:t>. Казначейству забезпечити взаємодію з Національною комісією, що здійснює державне регулювання у сферах енергетики та комунальних послуг, щодо питання відкриття небюджетних рахунків в органах Казначейства та надання щомісяця до 15 числа наступного періоду інформації про надходження та використання коштів на небюджетні рахунки/з небюджетних рахунків теплопостачальних та теплогенеруючих організацій, відкриті/відкритих в органах Казначейства.</w:t>
      </w:r>
    </w:p>
    <w:p w14:paraId="16D881F1"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0" w:name="n54"/>
      <w:bookmarkEnd w:id="50"/>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4</w:t>
      </w:r>
      <w:r w:rsidRPr="007071F7">
        <w:rPr>
          <w:rFonts w:ascii="Times New Roman" w:eastAsia="Times New Roman" w:hAnsi="Times New Roman" w:cs="Times New Roman"/>
          <w:color w:val="333333"/>
          <w:sz w:val="16"/>
          <w:szCs w:val="16"/>
          <w:lang w:eastAsia="ru-RU"/>
        </w:rPr>
        <w:t>. Моніторинг розподілу та використання коштів, що надходять на небюджетні рахунки теплопостачальних та теплогенеруючих організацій, що уклали після 1 вересня 2023 р. договори постачання природного газу з постачальником, на якого Кабінетом Міністрів України покладено спеціальні обов’язки відповідно до </w:t>
      </w:r>
      <w:hyperlink r:id="rId21" w:tgtFrame="_blank" w:history="1">
        <w:r w:rsidRPr="007071F7">
          <w:rPr>
            <w:rFonts w:ascii="Times New Roman" w:eastAsia="Times New Roman" w:hAnsi="Times New Roman" w:cs="Times New Roman"/>
            <w:color w:val="000099"/>
            <w:sz w:val="24"/>
            <w:szCs w:val="24"/>
            <w:u w:val="single"/>
            <w:lang w:eastAsia="ru-RU"/>
          </w:rPr>
          <w:t>Закону України</w:t>
        </w:r>
      </w:hyperlink>
      <w:r w:rsidRPr="007071F7">
        <w:rPr>
          <w:rFonts w:ascii="Times New Roman" w:eastAsia="Times New Roman" w:hAnsi="Times New Roman" w:cs="Times New Roman"/>
          <w:color w:val="333333"/>
          <w:sz w:val="16"/>
          <w:szCs w:val="16"/>
          <w:lang w:eastAsia="ru-RU"/>
        </w:rPr>
        <w:t> “Про ринок природного газу”, зокрема коштів, що залишаються у теплопостачальних та теплогенеруючих організацій після розподілу та перерахування органами Казначейства, здійснюється Національною комісією, що здійснює державне регулювання у сферах енергетики та комунальних послуг, у затвердженому нею порядку.</w:t>
      </w:r>
    </w:p>
    <w:p w14:paraId="0AFDADCE"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1" w:name="n55"/>
      <w:bookmarkEnd w:id="51"/>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5</w:t>
      </w:r>
      <w:r w:rsidRPr="007071F7">
        <w:rPr>
          <w:rFonts w:ascii="Times New Roman" w:eastAsia="Times New Roman" w:hAnsi="Times New Roman" w:cs="Times New Roman"/>
          <w:color w:val="333333"/>
          <w:sz w:val="16"/>
          <w:szCs w:val="16"/>
          <w:lang w:eastAsia="ru-RU"/>
        </w:rPr>
        <w:t>. Для цілей моніторингу розподілу та використання коштів, що надходять на небюджетні рахунки теплопостачальних та теплогенеруючих організацій, теплопостачальні та теплогенеруючі організації, що відкрили відповідно до підпункту 1 пункту 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 цієї постанови небюджетні рахунки в органах Казначейства, подають щомісяця до 17 числа наступного періоду (перший звітний період - вересень 2023 р.) Національній комісії, що здійснює державне регулювання у сферах енергетики та комунальних послуг, за встановленими нею формами інформацію про розподіл та використання коштів у звітному місяці.</w:t>
      </w:r>
    </w:p>
    <w:p w14:paraId="4101749A"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2" w:name="n56"/>
      <w:bookmarkEnd w:id="52"/>
      <w:r w:rsidRPr="007071F7">
        <w:rPr>
          <w:rFonts w:ascii="Times New Roman" w:eastAsia="Times New Roman" w:hAnsi="Times New Roman" w:cs="Times New Roman"/>
          <w:color w:val="333333"/>
          <w:sz w:val="16"/>
          <w:szCs w:val="16"/>
          <w:lang w:eastAsia="ru-RU"/>
        </w:rPr>
        <w:t>3</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6</w:t>
      </w:r>
      <w:r w:rsidRPr="007071F7">
        <w:rPr>
          <w:rFonts w:ascii="Times New Roman" w:eastAsia="Times New Roman" w:hAnsi="Times New Roman" w:cs="Times New Roman"/>
          <w:color w:val="333333"/>
          <w:sz w:val="16"/>
          <w:szCs w:val="16"/>
          <w:lang w:eastAsia="ru-RU"/>
        </w:rPr>
        <w:t>. Тимчасово, з 1 вересня по 31 грудня 2023 р., припинити дію </w:t>
      </w:r>
      <w:hyperlink r:id="rId22" w:anchor="n43" w:tgtFrame="_blank" w:history="1">
        <w:r w:rsidRPr="007071F7">
          <w:rPr>
            <w:rFonts w:ascii="Times New Roman" w:eastAsia="Times New Roman" w:hAnsi="Times New Roman" w:cs="Times New Roman"/>
            <w:color w:val="000099"/>
            <w:sz w:val="24"/>
            <w:szCs w:val="24"/>
            <w:u w:val="single"/>
            <w:lang w:eastAsia="ru-RU"/>
          </w:rPr>
          <w:t>підпункту 3</w:t>
        </w:r>
      </w:hyperlink>
      <w:r w:rsidRPr="007071F7">
        <w:rPr>
          <w:rFonts w:ascii="Times New Roman" w:eastAsia="Times New Roman" w:hAnsi="Times New Roman" w:cs="Times New Roman"/>
          <w:color w:val="333333"/>
          <w:sz w:val="16"/>
          <w:szCs w:val="16"/>
          <w:lang w:eastAsia="ru-RU"/>
        </w:rPr>
        <w:t> пункту 1 додатка до Положення, затвердженого цією постановою.”;</w:t>
      </w:r>
    </w:p>
    <w:p w14:paraId="6FE31DB2"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3" w:name="n57"/>
      <w:bookmarkEnd w:id="53"/>
      <w:r w:rsidRPr="007071F7">
        <w:rPr>
          <w:rFonts w:ascii="Times New Roman" w:eastAsia="Times New Roman" w:hAnsi="Times New Roman" w:cs="Times New Roman"/>
          <w:color w:val="333333"/>
          <w:sz w:val="16"/>
          <w:szCs w:val="16"/>
          <w:lang w:eastAsia="ru-RU"/>
        </w:rPr>
        <w:t>у </w:t>
      </w:r>
      <w:hyperlink r:id="rId23" w:anchor="n14" w:tgtFrame="_blank" w:history="1">
        <w:r w:rsidRPr="007071F7">
          <w:rPr>
            <w:rFonts w:ascii="Times New Roman" w:eastAsia="Times New Roman" w:hAnsi="Times New Roman" w:cs="Times New Roman"/>
            <w:color w:val="000099"/>
            <w:sz w:val="24"/>
            <w:szCs w:val="24"/>
            <w:u w:val="single"/>
            <w:lang w:eastAsia="ru-RU"/>
          </w:rPr>
          <w:t>пункті 4</w:t>
        </w:r>
      </w:hyperlink>
      <w:r w:rsidRPr="007071F7">
        <w:rPr>
          <w:rFonts w:ascii="Times New Roman" w:eastAsia="Times New Roman" w:hAnsi="Times New Roman" w:cs="Times New Roman"/>
          <w:color w:val="333333"/>
          <w:sz w:val="16"/>
          <w:szCs w:val="16"/>
          <w:lang w:eastAsia="ru-RU"/>
        </w:rPr>
        <w:t> слова і цифри “до 31 серпня 2023 р. (включно)” замінити словами і цифрами “до 15 квітня 2024 р. (включно)”;</w:t>
      </w:r>
    </w:p>
    <w:p w14:paraId="76F72920"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4" w:name="n58"/>
      <w:bookmarkEnd w:id="54"/>
      <w:r w:rsidRPr="007071F7">
        <w:rPr>
          <w:rFonts w:ascii="Times New Roman" w:eastAsia="Times New Roman" w:hAnsi="Times New Roman" w:cs="Times New Roman"/>
          <w:color w:val="333333"/>
          <w:sz w:val="16"/>
          <w:szCs w:val="16"/>
          <w:lang w:eastAsia="ru-RU"/>
        </w:rPr>
        <w:t>2) у </w:t>
      </w:r>
      <w:hyperlink r:id="rId24" w:anchor="n17" w:tgtFrame="_blank" w:history="1">
        <w:r w:rsidRPr="007071F7">
          <w:rPr>
            <w:rFonts w:ascii="Times New Roman" w:eastAsia="Times New Roman" w:hAnsi="Times New Roman" w:cs="Times New Roman"/>
            <w:color w:val="000099"/>
            <w:sz w:val="24"/>
            <w:szCs w:val="24"/>
            <w:u w:val="single"/>
            <w:lang w:eastAsia="ru-RU"/>
          </w:rPr>
          <w:t>Положенні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hyperlink>
      <w:r w:rsidRPr="007071F7">
        <w:rPr>
          <w:rFonts w:ascii="Times New Roman" w:eastAsia="Times New Roman" w:hAnsi="Times New Roman" w:cs="Times New Roman"/>
          <w:color w:val="333333"/>
          <w:sz w:val="16"/>
          <w:szCs w:val="16"/>
          <w:lang w:eastAsia="ru-RU"/>
        </w:rPr>
        <w:t>, затвердженому зазначеною постановою:</w:t>
      </w:r>
    </w:p>
    <w:p w14:paraId="02F1AD62"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5" w:name="n59"/>
      <w:bookmarkEnd w:id="55"/>
      <w:r w:rsidRPr="007071F7">
        <w:rPr>
          <w:rFonts w:ascii="Times New Roman" w:eastAsia="Times New Roman" w:hAnsi="Times New Roman" w:cs="Times New Roman"/>
          <w:color w:val="333333"/>
          <w:sz w:val="16"/>
          <w:szCs w:val="16"/>
          <w:lang w:eastAsia="ru-RU"/>
        </w:rPr>
        <w:t>в </w:t>
      </w:r>
      <w:hyperlink r:id="rId25" w:anchor="n32" w:tgtFrame="_blank" w:history="1">
        <w:r w:rsidRPr="007071F7">
          <w:rPr>
            <w:rFonts w:ascii="Times New Roman" w:eastAsia="Times New Roman" w:hAnsi="Times New Roman" w:cs="Times New Roman"/>
            <w:color w:val="000099"/>
            <w:sz w:val="24"/>
            <w:szCs w:val="24"/>
            <w:u w:val="single"/>
            <w:lang w:eastAsia="ru-RU"/>
          </w:rPr>
          <w:t>абзаці першому</w:t>
        </w:r>
      </w:hyperlink>
      <w:r w:rsidRPr="007071F7">
        <w:rPr>
          <w:rFonts w:ascii="Times New Roman" w:eastAsia="Times New Roman" w:hAnsi="Times New Roman" w:cs="Times New Roman"/>
          <w:color w:val="333333"/>
          <w:sz w:val="16"/>
          <w:szCs w:val="16"/>
          <w:lang w:eastAsia="ru-RU"/>
        </w:rPr>
        <w:t> пункту 5 слова і цифри “до 31 серпня 2023 р. (включно)” замінити словами і цифрами “до 15 квітня 2024 р. (включно)”;</w:t>
      </w:r>
    </w:p>
    <w:p w14:paraId="0C954CB7"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6" w:name="n60"/>
      <w:bookmarkEnd w:id="56"/>
      <w:r w:rsidRPr="007071F7">
        <w:rPr>
          <w:rFonts w:ascii="Times New Roman" w:eastAsia="Times New Roman" w:hAnsi="Times New Roman" w:cs="Times New Roman"/>
          <w:color w:val="333333"/>
          <w:sz w:val="16"/>
          <w:szCs w:val="16"/>
          <w:lang w:eastAsia="ru-RU"/>
        </w:rPr>
        <w:lastRenderedPageBreak/>
        <w:t>в </w:t>
      </w:r>
      <w:hyperlink r:id="rId26" w:anchor="n34" w:tgtFrame="_blank" w:history="1">
        <w:r w:rsidRPr="007071F7">
          <w:rPr>
            <w:rFonts w:ascii="Times New Roman" w:eastAsia="Times New Roman" w:hAnsi="Times New Roman" w:cs="Times New Roman"/>
            <w:color w:val="000099"/>
            <w:sz w:val="24"/>
            <w:szCs w:val="24"/>
            <w:u w:val="single"/>
            <w:lang w:eastAsia="ru-RU"/>
          </w:rPr>
          <w:t>абзаці першому</w:t>
        </w:r>
      </w:hyperlink>
      <w:r w:rsidRPr="007071F7">
        <w:rPr>
          <w:rFonts w:ascii="Times New Roman" w:eastAsia="Times New Roman" w:hAnsi="Times New Roman" w:cs="Times New Roman"/>
          <w:color w:val="333333"/>
          <w:sz w:val="16"/>
          <w:szCs w:val="16"/>
          <w:lang w:eastAsia="ru-RU"/>
        </w:rPr>
        <w:t> пункту 6 слова і цифри “до 31 серпня 2023 р. (включно)” замінити словами і цифрами “до 15 квітня 2024 р. (включно)”;</w:t>
      </w:r>
    </w:p>
    <w:p w14:paraId="56ACC03A"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7" w:name="n61"/>
      <w:bookmarkEnd w:id="57"/>
      <w:r w:rsidRPr="007071F7">
        <w:rPr>
          <w:rFonts w:ascii="Times New Roman" w:eastAsia="Times New Roman" w:hAnsi="Times New Roman" w:cs="Times New Roman"/>
          <w:color w:val="333333"/>
          <w:sz w:val="16"/>
          <w:szCs w:val="16"/>
          <w:lang w:eastAsia="ru-RU"/>
        </w:rPr>
        <w:t>в </w:t>
      </w:r>
      <w:hyperlink r:id="rId27" w:anchor="n107" w:tgtFrame="_blank" w:history="1">
        <w:r w:rsidRPr="007071F7">
          <w:rPr>
            <w:rFonts w:ascii="Times New Roman" w:eastAsia="Times New Roman" w:hAnsi="Times New Roman" w:cs="Times New Roman"/>
            <w:color w:val="000099"/>
            <w:sz w:val="24"/>
            <w:szCs w:val="24"/>
            <w:u w:val="single"/>
            <w:lang w:eastAsia="ru-RU"/>
          </w:rPr>
          <w:t>абзаці першому</w:t>
        </w:r>
      </w:hyperlink>
      <w:r w:rsidRPr="007071F7">
        <w:rPr>
          <w:rFonts w:ascii="Times New Roman" w:eastAsia="Times New Roman" w:hAnsi="Times New Roman" w:cs="Times New Roman"/>
          <w:color w:val="333333"/>
          <w:sz w:val="16"/>
          <w:szCs w:val="16"/>
          <w:lang w:eastAsia="ru-RU"/>
        </w:rPr>
        <w:t> пункту 6</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 слова і цифри “до 31 серпня 2023 р. (включно)” замінити словами і цифрами “до 15 квітня 2024 р. (включно)”;</w:t>
      </w:r>
    </w:p>
    <w:p w14:paraId="3C57674C"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8" w:name="n62"/>
      <w:bookmarkEnd w:id="58"/>
      <w:r w:rsidRPr="007071F7">
        <w:rPr>
          <w:rFonts w:ascii="Times New Roman" w:eastAsia="Times New Roman" w:hAnsi="Times New Roman" w:cs="Times New Roman"/>
          <w:color w:val="333333"/>
          <w:sz w:val="16"/>
          <w:szCs w:val="16"/>
          <w:lang w:eastAsia="ru-RU"/>
        </w:rPr>
        <w:t>у </w:t>
      </w:r>
      <w:hyperlink r:id="rId28" w:anchor="n35" w:tgtFrame="_blank" w:history="1">
        <w:r w:rsidRPr="007071F7">
          <w:rPr>
            <w:rFonts w:ascii="Times New Roman" w:eastAsia="Times New Roman" w:hAnsi="Times New Roman" w:cs="Times New Roman"/>
            <w:color w:val="000099"/>
            <w:sz w:val="24"/>
            <w:szCs w:val="24"/>
            <w:u w:val="single"/>
            <w:lang w:eastAsia="ru-RU"/>
          </w:rPr>
          <w:t>пункті 7</w:t>
        </w:r>
      </w:hyperlink>
      <w:r w:rsidRPr="007071F7">
        <w:rPr>
          <w:rFonts w:ascii="Times New Roman" w:eastAsia="Times New Roman" w:hAnsi="Times New Roman" w:cs="Times New Roman"/>
          <w:color w:val="333333"/>
          <w:sz w:val="16"/>
          <w:szCs w:val="16"/>
          <w:lang w:eastAsia="ru-RU"/>
        </w:rPr>
        <w:t> слова і цифри “до 31 серпня 2023 р. (включно)” замінити словами і цифрами “до 15 квітня 2024 р. (включно)”;</w:t>
      </w:r>
    </w:p>
    <w:p w14:paraId="0022B14B"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59" w:name="n63"/>
      <w:bookmarkEnd w:id="59"/>
      <w:r w:rsidRPr="007071F7">
        <w:rPr>
          <w:rFonts w:ascii="Times New Roman" w:eastAsia="Times New Roman" w:hAnsi="Times New Roman" w:cs="Times New Roman"/>
          <w:color w:val="333333"/>
          <w:sz w:val="16"/>
          <w:szCs w:val="16"/>
          <w:lang w:eastAsia="ru-RU"/>
        </w:rPr>
        <w:t>у </w:t>
      </w:r>
      <w:hyperlink r:id="rId29" w:anchor="n38" w:tgtFrame="_blank" w:history="1">
        <w:r w:rsidRPr="007071F7">
          <w:rPr>
            <w:rFonts w:ascii="Times New Roman" w:eastAsia="Times New Roman" w:hAnsi="Times New Roman" w:cs="Times New Roman"/>
            <w:color w:val="000099"/>
            <w:sz w:val="24"/>
            <w:szCs w:val="24"/>
            <w:u w:val="single"/>
            <w:lang w:eastAsia="ru-RU"/>
          </w:rPr>
          <w:t>додатку</w:t>
        </w:r>
      </w:hyperlink>
      <w:r w:rsidRPr="007071F7">
        <w:rPr>
          <w:rFonts w:ascii="Times New Roman" w:eastAsia="Times New Roman" w:hAnsi="Times New Roman" w:cs="Times New Roman"/>
          <w:color w:val="333333"/>
          <w:sz w:val="16"/>
          <w:szCs w:val="16"/>
          <w:lang w:eastAsia="ru-RU"/>
        </w:rPr>
        <w:t> до Положення:</w:t>
      </w:r>
    </w:p>
    <w:p w14:paraId="4DF84630"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0" w:name="n64"/>
      <w:bookmarkEnd w:id="60"/>
      <w:r w:rsidRPr="007071F7">
        <w:rPr>
          <w:rFonts w:ascii="Times New Roman" w:eastAsia="Times New Roman" w:hAnsi="Times New Roman" w:cs="Times New Roman"/>
          <w:color w:val="333333"/>
          <w:sz w:val="16"/>
          <w:szCs w:val="16"/>
          <w:lang w:eastAsia="ru-RU"/>
        </w:rPr>
        <w:t>у </w:t>
      </w:r>
      <w:hyperlink r:id="rId30" w:anchor="n39" w:tgtFrame="_blank" w:history="1">
        <w:r w:rsidRPr="007071F7">
          <w:rPr>
            <w:rFonts w:ascii="Times New Roman" w:eastAsia="Times New Roman" w:hAnsi="Times New Roman" w:cs="Times New Roman"/>
            <w:color w:val="000099"/>
            <w:sz w:val="24"/>
            <w:szCs w:val="24"/>
            <w:u w:val="single"/>
            <w:lang w:eastAsia="ru-RU"/>
          </w:rPr>
          <w:t>пункті 1</w:t>
        </w:r>
      </w:hyperlink>
      <w:r w:rsidRPr="007071F7">
        <w:rPr>
          <w:rFonts w:ascii="Times New Roman" w:eastAsia="Times New Roman" w:hAnsi="Times New Roman" w:cs="Times New Roman"/>
          <w:color w:val="333333"/>
          <w:sz w:val="16"/>
          <w:szCs w:val="16"/>
          <w:lang w:eastAsia="ru-RU"/>
        </w:rPr>
        <w:t>:</w:t>
      </w:r>
    </w:p>
    <w:p w14:paraId="48A98544"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1" w:name="n65"/>
      <w:bookmarkEnd w:id="61"/>
      <w:r w:rsidRPr="007071F7">
        <w:rPr>
          <w:rFonts w:ascii="Times New Roman" w:eastAsia="Times New Roman" w:hAnsi="Times New Roman" w:cs="Times New Roman"/>
          <w:color w:val="333333"/>
          <w:sz w:val="16"/>
          <w:szCs w:val="16"/>
          <w:lang w:eastAsia="ru-RU"/>
        </w:rPr>
        <w:t>у підпункті 1:</w:t>
      </w:r>
    </w:p>
    <w:p w14:paraId="2A6A6429"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2" w:name="n66"/>
      <w:bookmarkEnd w:id="62"/>
      <w:r w:rsidRPr="007071F7">
        <w:rPr>
          <w:rFonts w:ascii="Times New Roman" w:eastAsia="Times New Roman" w:hAnsi="Times New Roman" w:cs="Times New Roman"/>
          <w:color w:val="333333"/>
          <w:sz w:val="16"/>
          <w:szCs w:val="16"/>
          <w:lang w:eastAsia="ru-RU"/>
        </w:rPr>
        <w:t>в абзаці другому слова і цифри “до 31 серпня (міжопалювальний період)” замінити словами і цифрами “2023 р. до 31 серпня 2023 р. (міжопалювальний період) та з 1 вересня 2023 р. до 15 квітня 2024 р. (опалювальний період)”;</w:t>
      </w:r>
    </w:p>
    <w:p w14:paraId="4E91464B"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3" w:name="n67"/>
      <w:bookmarkEnd w:id="63"/>
      <w:r w:rsidRPr="007071F7">
        <w:rPr>
          <w:rFonts w:ascii="Times New Roman" w:eastAsia="Times New Roman" w:hAnsi="Times New Roman" w:cs="Times New Roman"/>
          <w:color w:val="333333"/>
          <w:sz w:val="16"/>
          <w:szCs w:val="16"/>
          <w:lang w:eastAsia="ru-RU"/>
        </w:rPr>
        <w:t>абзац третій після слова “міжопалювального” доповнити словами “та/або опалювального”, а після слова “міжопалювальний” - словами “та/або опалювальний”;</w:t>
      </w:r>
    </w:p>
    <w:p w14:paraId="36429D70"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4" w:name="n68"/>
      <w:bookmarkEnd w:id="64"/>
      <w:r w:rsidRPr="007071F7">
        <w:rPr>
          <w:rFonts w:ascii="Times New Roman" w:eastAsia="Times New Roman" w:hAnsi="Times New Roman" w:cs="Times New Roman"/>
          <w:color w:val="333333"/>
          <w:sz w:val="16"/>
          <w:szCs w:val="16"/>
          <w:lang w:eastAsia="ru-RU"/>
        </w:rPr>
        <w:t>абзац четвертий після слова “міжопалювального” доповнити словами “та/або опалювального”;</w:t>
      </w:r>
    </w:p>
    <w:p w14:paraId="349EA4A2"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5" w:name="n69"/>
      <w:bookmarkEnd w:id="65"/>
      <w:r w:rsidRPr="007071F7">
        <w:rPr>
          <w:rFonts w:ascii="Times New Roman" w:eastAsia="Times New Roman" w:hAnsi="Times New Roman" w:cs="Times New Roman"/>
          <w:color w:val="333333"/>
          <w:sz w:val="16"/>
          <w:szCs w:val="16"/>
          <w:lang w:eastAsia="ru-RU"/>
        </w:rPr>
        <w:t>абзац п’ятий після слова “міжопалювального” доповнити словами “та/або опалювального”;</w:t>
      </w:r>
    </w:p>
    <w:p w14:paraId="451EB79D"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6" w:name="n70"/>
      <w:bookmarkEnd w:id="66"/>
      <w:r w:rsidRPr="007071F7">
        <w:rPr>
          <w:rFonts w:ascii="Times New Roman" w:eastAsia="Times New Roman" w:hAnsi="Times New Roman" w:cs="Times New Roman"/>
          <w:color w:val="333333"/>
          <w:sz w:val="16"/>
          <w:szCs w:val="16"/>
          <w:lang w:eastAsia="ru-RU"/>
        </w:rPr>
        <w:t>доповнити </w:t>
      </w:r>
      <w:hyperlink r:id="rId31" w:anchor="n39" w:tgtFrame="_blank" w:history="1">
        <w:r w:rsidRPr="007071F7">
          <w:rPr>
            <w:rFonts w:ascii="Times New Roman" w:eastAsia="Times New Roman" w:hAnsi="Times New Roman" w:cs="Times New Roman"/>
            <w:color w:val="000099"/>
            <w:sz w:val="24"/>
            <w:szCs w:val="24"/>
            <w:u w:val="single"/>
            <w:lang w:eastAsia="ru-RU"/>
          </w:rPr>
          <w:t>пункт</w:t>
        </w:r>
      </w:hyperlink>
      <w:r w:rsidRPr="007071F7">
        <w:rPr>
          <w:rFonts w:ascii="Times New Roman" w:eastAsia="Times New Roman" w:hAnsi="Times New Roman" w:cs="Times New Roman"/>
          <w:color w:val="333333"/>
          <w:sz w:val="16"/>
          <w:szCs w:val="16"/>
          <w:lang w:eastAsia="ru-RU"/>
        </w:rPr>
        <w:t> підпунктами 4 і 5 такого змісту:</w:t>
      </w:r>
    </w:p>
    <w:p w14:paraId="4676D6EE"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7" w:name="n71"/>
      <w:bookmarkEnd w:id="67"/>
      <w:r w:rsidRPr="007071F7">
        <w:rPr>
          <w:rFonts w:ascii="Times New Roman" w:eastAsia="Times New Roman" w:hAnsi="Times New Roman" w:cs="Times New Roman"/>
          <w:color w:val="333333"/>
          <w:sz w:val="16"/>
          <w:szCs w:val="16"/>
          <w:lang w:eastAsia="ru-RU"/>
        </w:rPr>
        <w:t>“4) надав довідку (у довільній формі) про відкриття небюджетного рахунка в органах Казначейства (у разі, коли відповідний виробник теплової енергії включений до реєстру підприємств, що беруть участь у процедурі врегулювання заборгованості згідно із </w:t>
      </w:r>
      <w:hyperlink r:id="rId32"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та має заборгованість перед ТОВ “Газопостачальна компанія “Нафтогаз Трейдинг”);</w:t>
      </w:r>
    </w:p>
    <w:p w14:paraId="58203A95"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8" w:name="n72"/>
      <w:bookmarkEnd w:id="68"/>
      <w:r w:rsidRPr="007071F7">
        <w:rPr>
          <w:rFonts w:ascii="Times New Roman" w:eastAsia="Times New Roman" w:hAnsi="Times New Roman" w:cs="Times New Roman"/>
          <w:color w:val="333333"/>
          <w:sz w:val="16"/>
          <w:szCs w:val="16"/>
          <w:lang w:eastAsia="ru-RU"/>
        </w:rPr>
        <w:t>5) уклав у визначений строк договір (додаткову угоду) про договірне перерахування коштів з поточних банківських рахунків, на які надходять кошти у вигляді плати за теплову енергію та відповідні комунальні послуги, на небюджетні рахунки в органах Казначейства (у разі, коли відповідний виробник теплової енергії включений до реєстру підприємств, що беруть участь у процедурі врегулювання заборгованості згідно із </w:t>
      </w:r>
      <w:hyperlink r:id="rId33"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та має заборгованість перед ТОВ “Газопостачальна компанія “Нафтогаз Трейдинг”).</w:t>
      </w:r>
    </w:p>
    <w:p w14:paraId="677442F7"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69" w:name="n73"/>
      <w:bookmarkEnd w:id="69"/>
      <w:r w:rsidRPr="007071F7">
        <w:rPr>
          <w:rFonts w:ascii="Times New Roman" w:eastAsia="Times New Roman" w:hAnsi="Times New Roman" w:cs="Times New Roman"/>
          <w:color w:val="333333"/>
          <w:sz w:val="16"/>
          <w:szCs w:val="16"/>
          <w:lang w:eastAsia="ru-RU"/>
        </w:rPr>
        <w:t>Під час підписання договору про договірне перерахування коштів сторони зобов’язані використовувати накладення електронного підпису та/або печатки відповідно до вимог законодавства про електронний документообіг та електронні довірчі послуги, сервіси для обміну електронними документами, при цьому електронні копії документів та електронне листування прирівнюється до оригіналів документів (повідомлень).</w:t>
      </w:r>
    </w:p>
    <w:p w14:paraId="7239D997"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0" w:name="n74"/>
      <w:bookmarkEnd w:id="70"/>
      <w:r w:rsidRPr="007071F7">
        <w:rPr>
          <w:rFonts w:ascii="Times New Roman" w:eastAsia="Times New Roman" w:hAnsi="Times New Roman" w:cs="Times New Roman"/>
          <w:color w:val="333333"/>
          <w:sz w:val="16"/>
          <w:szCs w:val="16"/>
          <w:lang w:eastAsia="ru-RU"/>
        </w:rPr>
        <w:t>У разі виконання виробником теплової енергії умови, передбаченої підпунктом 5 цього пункту, постачання природного газу такому виробнику теплової енергії здійснюється з 1 числа місяця, в якому виробник теплової енергії виконав зазначені вимоги, якщо інше не передбачено відповідним договором між виробником теплової енергії та ТОВ “Газопостачальна компанія “Нафтогаз Трейдинг”.</w:t>
      </w:r>
    </w:p>
    <w:p w14:paraId="305D6A38"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1" w:name="n75"/>
      <w:bookmarkEnd w:id="71"/>
      <w:r w:rsidRPr="007071F7">
        <w:rPr>
          <w:rFonts w:ascii="Times New Roman" w:eastAsia="Times New Roman" w:hAnsi="Times New Roman" w:cs="Times New Roman"/>
          <w:color w:val="333333"/>
          <w:sz w:val="16"/>
          <w:szCs w:val="16"/>
          <w:lang w:eastAsia="ru-RU"/>
        </w:rPr>
        <w:t>Оператор газотранспортної системи здійснює реєстрацію виробників теплової енергії в реєстрі споживачів постачальника із спеціальними обов’язками - товариства з обмеженою відповідальністю “Газопостачальна компанія “Нафтогаз Трейдинг” (на інформаційній платформі оператора газотранспортної системи) з першого числа відповідного місяця за письмовим повідомленням зазначеного товариства.”;</w:t>
      </w:r>
    </w:p>
    <w:p w14:paraId="0AC0C3A2"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2" w:name="n76"/>
      <w:bookmarkEnd w:id="72"/>
      <w:r w:rsidRPr="007071F7">
        <w:rPr>
          <w:rFonts w:ascii="Times New Roman" w:eastAsia="Times New Roman" w:hAnsi="Times New Roman" w:cs="Times New Roman"/>
          <w:color w:val="333333"/>
          <w:sz w:val="16"/>
          <w:szCs w:val="16"/>
          <w:lang w:eastAsia="ru-RU"/>
        </w:rPr>
        <w:t>доповнити </w:t>
      </w:r>
      <w:hyperlink r:id="rId34" w:anchor="n38" w:tgtFrame="_blank" w:history="1">
        <w:r w:rsidRPr="007071F7">
          <w:rPr>
            <w:rFonts w:ascii="Times New Roman" w:eastAsia="Times New Roman" w:hAnsi="Times New Roman" w:cs="Times New Roman"/>
            <w:color w:val="000099"/>
            <w:sz w:val="24"/>
            <w:szCs w:val="24"/>
            <w:u w:val="single"/>
            <w:lang w:eastAsia="ru-RU"/>
          </w:rPr>
          <w:t>додаток</w:t>
        </w:r>
      </w:hyperlink>
      <w:r w:rsidRPr="007071F7">
        <w:rPr>
          <w:rFonts w:ascii="Times New Roman" w:eastAsia="Times New Roman" w:hAnsi="Times New Roman" w:cs="Times New Roman"/>
          <w:color w:val="333333"/>
          <w:sz w:val="16"/>
          <w:szCs w:val="16"/>
          <w:lang w:eastAsia="ru-RU"/>
        </w:rPr>
        <w:t> пунктом 1</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 такого змісту:</w:t>
      </w:r>
    </w:p>
    <w:p w14:paraId="201DD6CD"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3" w:name="n77"/>
      <w:bookmarkEnd w:id="73"/>
      <w:r w:rsidRPr="007071F7">
        <w:rPr>
          <w:rFonts w:ascii="Times New Roman" w:eastAsia="Times New Roman" w:hAnsi="Times New Roman" w:cs="Times New Roman"/>
          <w:color w:val="333333"/>
          <w:sz w:val="16"/>
          <w:szCs w:val="16"/>
          <w:lang w:eastAsia="ru-RU"/>
        </w:rPr>
        <w:t>“1</w:t>
      </w:r>
      <w:r w:rsidRPr="007071F7">
        <w:rPr>
          <w:rFonts w:ascii="Times New Roman" w:eastAsia="Times New Roman" w:hAnsi="Times New Roman" w:cs="Times New Roman"/>
          <w:b/>
          <w:bCs/>
          <w:color w:val="333333"/>
          <w:sz w:val="2"/>
          <w:vertAlign w:val="superscript"/>
          <w:lang w:eastAsia="ru-RU"/>
        </w:rPr>
        <w:t>-</w:t>
      </w:r>
      <w:r w:rsidRPr="007071F7">
        <w:rPr>
          <w:rFonts w:ascii="Times New Roman" w:eastAsia="Times New Roman" w:hAnsi="Times New Roman" w:cs="Times New Roman"/>
          <w:b/>
          <w:bCs/>
          <w:color w:val="333333"/>
          <w:sz w:val="16"/>
          <w:vertAlign w:val="superscript"/>
          <w:lang w:eastAsia="ru-RU"/>
        </w:rPr>
        <w:t>1</w:t>
      </w:r>
      <w:r w:rsidRPr="007071F7">
        <w:rPr>
          <w:rFonts w:ascii="Times New Roman" w:eastAsia="Times New Roman" w:hAnsi="Times New Roman" w:cs="Times New Roman"/>
          <w:color w:val="333333"/>
          <w:sz w:val="16"/>
          <w:szCs w:val="16"/>
          <w:lang w:eastAsia="ru-RU"/>
        </w:rPr>
        <w:t>. Кошти, що надходять на поточні рахунки виробників теплової енергії, відкриті в банках, у вигляді плати споживачів за теплову енергію, послуги з постачання теплової енергії та постачання гарячої води, перераховуються банками згідно з договорами на небюджетні рахунки цих виробників теплової енергії, відкриті в органах Казначейства.</w:t>
      </w:r>
    </w:p>
    <w:p w14:paraId="33C62BBF"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4" w:name="n78"/>
      <w:bookmarkEnd w:id="74"/>
      <w:r w:rsidRPr="007071F7">
        <w:rPr>
          <w:rFonts w:ascii="Times New Roman" w:eastAsia="Times New Roman" w:hAnsi="Times New Roman" w:cs="Times New Roman"/>
          <w:color w:val="333333"/>
          <w:sz w:val="16"/>
          <w:szCs w:val="16"/>
          <w:lang w:eastAsia="ru-RU"/>
        </w:rPr>
        <w:t>Такі кошти перераховуються о 17-й годині органами Казначейства згідно з таким розподілом:</w:t>
      </w:r>
    </w:p>
    <w:p w14:paraId="54891DD8"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5" w:name="n79"/>
      <w:bookmarkEnd w:id="75"/>
      <w:r w:rsidRPr="007071F7">
        <w:rPr>
          <w:rFonts w:ascii="Times New Roman" w:eastAsia="Times New Roman" w:hAnsi="Times New Roman" w:cs="Times New Roman"/>
          <w:color w:val="333333"/>
          <w:sz w:val="16"/>
          <w:szCs w:val="16"/>
          <w:lang w:eastAsia="ru-RU"/>
        </w:rPr>
        <w:t>65 відсотків - на небюджетний рахунок ТОВ “Газопостачальна компанія “Нафтогаз Трейдинг”, відкритий в органі Казначейства;</w:t>
      </w:r>
    </w:p>
    <w:p w14:paraId="2B4AD10B"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6" w:name="n80"/>
      <w:bookmarkEnd w:id="76"/>
      <w:r w:rsidRPr="007071F7">
        <w:rPr>
          <w:rFonts w:ascii="Times New Roman" w:eastAsia="Times New Roman" w:hAnsi="Times New Roman" w:cs="Times New Roman"/>
          <w:color w:val="333333"/>
          <w:sz w:val="16"/>
          <w:szCs w:val="16"/>
          <w:lang w:eastAsia="ru-RU"/>
        </w:rPr>
        <w:t>35 відсотків - на небюджетні рахунки теплопостачальних та теплогенеруючих організацій, відкриті в органах Казначейства, для проведення платежів.</w:t>
      </w:r>
    </w:p>
    <w:p w14:paraId="70426A36"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7" w:name="n81"/>
      <w:bookmarkEnd w:id="77"/>
      <w:r w:rsidRPr="007071F7">
        <w:rPr>
          <w:rFonts w:ascii="Times New Roman" w:eastAsia="Times New Roman" w:hAnsi="Times New Roman" w:cs="Times New Roman"/>
          <w:color w:val="333333"/>
          <w:sz w:val="16"/>
          <w:szCs w:val="16"/>
          <w:lang w:eastAsia="ru-RU"/>
        </w:rPr>
        <w:t>Вимоги цього пункту не поширюються на об’єднання співвласників багатоквартирних будинків, житлово-будівельні (житлові, обслуговуючі) кооперативи, управителів багатоквартирних будинків, а також виробників теплової енергії, які не включені до реєстру підприємств, що беруть участь у процедурі врегулювання заборгованості згідно із </w:t>
      </w:r>
      <w:hyperlink r:id="rId35" w:tgtFrame="_blank" w:history="1">
        <w:r w:rsidRPr="007071F7">
          <w:rPr>
            <w:rFonts w:ascii="Times New Roman" w:eastAsia="Times New Roman" w:hAnsi="Times New Roman" w:cs="Times New Roman"/>
            <w:color w:val="000099"/>
            <w:sz w:val="24"/>
            <w:szCs w:val="24"/>
            <w:u w:val="single"/>
            <w:lang w:eastAsia="ru-RU"/>
          </w:rPr>
          <w:t>Законом України</w:t>
        </w:r>
      </w:hyperlink>
      <w:r w:rsidRPr="007071F7">
        <w:rPr>
          <w:rFonts w:ascii="Times New Roman" w:eastAsia="Times New Roman" w:hAnsi="Times New Roman" w:cs="Times New Roman"/>
          <w:color w:val="333333"/>
          <w:sz w:val="16"/>
          <w:szCs w:val="16"/>
          <w:lang w:eastAsia="ru-RU"/>
        </w:rPr>
        <w:t>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w:t>
      </w:r>
    </w:p>
    <w:p w14:paraId="3EF183F1"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8" w:name="n82"/>
      <w:bookmarkEnd w:id="78"/>
      <w:r w:rsidRPr="007071F7">
        <w:rPr>
          <w:rFonts w:ascii="Times New Roman" w:eastAsia="Times New Roman" w:hAnsi="Times New Roman" w:cs="Times New Roman"/>
          <w:color w:val="333333"/>
          <w:sz w:val="16"/>
          <w:szCs w:val="16"/>
          <w:lang w:eastAsia="ru-RU"/>
        </w:rPr>
        <w:t>у </w:t>
      </w:r>
      <w:hyperlink r:id="rId36" w:anchor="n53" w:tgtFrame="_blank" w:history="1">
        <w:r w:rsidRPr="007071F7">
          <w:rPr>
            <w:rFonts w:ascii="Times New Roman" w:eastAsia="Times New Roman" w:hAnsi="Times New Roman" w:cs="Times New Roman"/>
            <w:color w:val="000099"/>
            <w:sz w:val="24"/>
            <w:szCs w:val="24"/>
            <w:u w:val="single"/>
            <w:lang w:eastAsia="ru-RU"/>
          </w:rPr>
          <w:t>пункті 2</w:t>
        </w:r>
      </w:hyperlink>
      <w:r w:rsidRPr="007071F7">
        <w:rPr>
          <w:rFonts w:ascii="Times New Roman" w:eastAsia="Times New Roman" w:hAnsi="Times New Roman" w:cs="Times New Roman"/>
          <w:color w:val="333333"/>
          <w:sz w:val="16"/>
          <w:szCs w:val="16"/>
          <w:lang w:eastAsia="ru-RU"/>
        </w:rPr>
        <w:t>:</w:t>
      </w:r>
    </w:p>
    <w:p w14:paraId="525F84CC"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79" w:name="n83"/>
      <w:bookmarkEnd w:id="79"/>
      <w:r w:rsidRPr="007071F7">
        <w:rPr>
          <w:rFonts w:ascii="Times New Roman" w:eastAsia="Times New Roman" w:hAnsi="Times New Roman" w:cs="Times New Roman"/>
          <w:color w:val="333333"/>
          <w:sz w:val="16"/>
          <w:szCs w:val="16"/>
          <w:lang w:eastAsia="ru-RU"/>
        </w:rPr>
        <w:t>в абзаці шостому слова і цифри “по 31 серпня 2023 р. (включно)” замінити словами і цифрами “до 15 квітня 2024 р. (включно)”;</w:t>
      </w:r>
    </w:p>
    <w:p w14:paraId="3576748E"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0" w:name="n84"/>
      <w:bookmarkEnd w:id="80"/>
      <w:r w:rsidRPr="007071F7">
        <w:rPr>
          <w:rFonts w:ascii="Times New Roman" w:eastAsia="Times New Roman" w:hAnsi="Times New Roman" w:cs="Times New Roman"/>
          <w:color w:val="333333"/>
          <w:sz w:val="16"/>
          <w:szCs w:val="16"/>
          <w:lang w:eastAsia="ru-RU"/>
        </w:rPr>
        <w:t>абзац сьомий викласти в такій редакції:</w:t>
      </w:r>
    </w:p>
    <w:p w14:paraId="1C623B63"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1" w:name="n85"/>
      <w:bookmarkEnd w:id="81"/>
      <w:r w:rsidRPr="007071F7">
        <w:rPr>
          <w:rFonts w:ascii="Times New Roman" w:eastAsia="Times New Roman" w:hAnsi="Times New Roman" w:cs="Times New Roman"/>
          <w:color w:val="333333"/>
          <w:sz w:val="16"/>
          <w:szCs w:val="16"/>
          <w:lang w:eastAsia="ru-RU"/>
        </w:rPr>
        <w:t>“Обсяг природного газу, що передається за договором у частині обсягу II, розраховується як різниця між загальним обсягом відбору/споживання природного газу виробником теплової енергії та сумою обсягів I-фіксованого, III-фіксованого, та обсягу, що використовується з метою забезпечення безпеки постачання електричної енергії відповідно до </w:t>
      </w:r>
      <w:hyperlink r:id="rId37" w:anchor="n10" w:tgtFrame="_blank" w:history="1">
        <w:r w:rsidRPr="007071F7">
          <w:rPr>
            <w:rFonts w:ascii="Times New Roman" w:eastAsia="Times New Roman" w:hAnsi="Times New Roman" w:cs="Times New Roman"/>
            <w:color w:val="000099"/>
            <w:sz w:val="24"/>
            <w:szCs w:val="24"/>
            <w:u w:val="single"/>
            <w:lang w:eastAsia="ru-RU"/>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r w:rsidRPr="007071F7">
        <w:rPr>
          <w:rFonts w:ascii="Times New Roman" w:eastAsia="Times New Roman" w:hAnsi="Times New Roman" w:cs="Times New Roman"/>
          <w:color w:val="333333"/>
          <w:sz w:val="16"/>
          <w:szCs w:val="16"/>
          <w:lang w:eastAsia="ru-RU"/>
        </w:rPr>
        <w:t xml:space="preserve">, затвердженого </w:t>
      </w:r>
      <w:r w:rsidRPr="007071F7">
        <w:rPr>
          <w:rFonts w:ascii="Times New Roman" w:eastAsia="Times New Roman" w:hAnsi="Times New Roman" w:cs="Times New Roman"/>
          <w:color w:val="333333"/>
          <w:sz w:val="16"/>
          <w:szCs w:val="16"/>
          <w:lang w:eastAsia="ru-RU"/>
        </w:rPr>
        <w:lastRenderedPageBreak/>
        <w:t>постановою Кабінету Міністрів України від 6 березня 2022 р. № 222 (Офіційний вісник України, 2022 р., № 25, ст. 1297, № 39, ст. 2080) (далі - обсяг II).”;</w:t>
      </w:r>
    </w:p>
    <w:bookmarkStart w:id="82" w:name="n86"/>
    <w:bookmarkEnd w:id="82"/>
    <w:p w14:paraId="7F8D0998"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r w:rsidRPr="007071F7">
        <w:rPr>
          <w:rFonts w:ascii="Times New Roman" w:eastAsia="Times New Roman" w:hAnsi="Times New Roman" w:cs="Times New Roman"/>
          <w:color w:val="333333"/>
          <w:sz w:val="16"/>
          <w:szCs w:val="16"/>
          <w:lang w:eastAsia="ru-RU"/>
        </w:rPr>
        <w:fldChar w:fldCharType="begin"/>
      </w:r>
      <w:r w:rsidRPr="007071F7">
        <w:rPr>
          <w:rFonts w:ascii="Times New Roman" w:eastAsia="Times New Roman" w:hAnsi="Times New Roman" w:cs="Times New Roman"/>
          <w:color w:val="333333"/>
          <w:sz w:val="16"/>
          <w:szCs w:val="16"/>
          <w:lang w:eastAsia="ru-RU"/>
        </w:rPr>
        <w:instrText xml:space="preserve"> HYPERLINK "https://zakon.rada.gov.ua/laws/show/812-2022-%D0%BF" \l "n60" \t "_blank" </w:instrText>
      </w:r>
      <w:r w:rsidRPr="007071F7">
        <w:rPr>
          <w:rFonts w:ascii="Times New Roman" w:eastAsia="Times New Roman" w:hAnsi="Times New Roman" w:cs="Times New Roman"/>
          <w:color w:val="333333"/>
          <w:sz w:val="16"/>
          <w:szCs w:val="16"/>
          <w:lang w:eastAsia="ru-RU"/>
        </w:rPr>
        <w:fldChar w:fldCharType="separate"/>
      </w:r>
      <w:r w:rsidRPr="007071F7">
        <w:rPr>
          <w:rFonts w:ascii="Times New Roman" w:eastAsia="Times New Roman" w:hAnsi="Times New Roman" w:cs="Times New Roman"/>
          <w:color w:val="000099"/>
          <w:sz w:val="24"/>
          <w:szCs w:val="24"/>
          <w:u w:val="single"/>
          <w:lang w:eastAsia="ru-RU"/>
        </w:rPr>
        <w:t>пункт 4</w:t>
      </w:r>
      <w:r w:rsidRPr="007071F7">
        <w:rPr>
          <w:rFonts w:ascii="Times New Roman" w:eastAsia="Times New Roman" w:hAnsi="Times New Roman" w:cs="Times New Roman"/>
          <w:color w:val="333333"/>
          <w:sz w:val="16"/>
          <w:szCs w:val="16"/>
          <w:lang w:eastAsia="ru-RU"/>
        </w:rPr>
        <w:fldChar w:fldCharType="end"/>
      </w:r>
      <w:r w:rsidRPr="007071F7">
        <w:rPr>
          <w:rFonts w:ascii="Times New Roman" w:eastAsia="Times New Roman" w:hAnsi="Times New Roman" w:cs="Times New Roman"/>
          <w:color w:val="333333"/>
          <w:sz w:val="16"/>
          <w:szCs w:val="16"/>
          <w:lang w:eastAsia="ru-RU"/>
        </w:rPr>
        <w:t> викласти в такій редакції:</w:t>
      </w:r>
    </w:p>
    <w:p w14:paraId="60B61B1B"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3" w:name="n87"/>
      <w:bookmarkEnd w:id="83"/>
      <w:r w:rsidRPr="007071F7">
        <w:rPr>
          <w:rFonts w:ascii="Times New Roman" w:eastAsia="Times New Roman" w:hAnsi="Times New Roman" w:cs="Times New Roman"/>
          <w:color w:val="333333"/>
          <w:sz w:val="16"/>
          <w:szCs w:val="16"/>
          <w:lang w:eastAsia="ru-RU"/>
        </w:rPr>
        <w:t>“4. Ціна природного газу для обсягу II визначається щомісяця до 25 числа місяця, що передує місяцю постачання природного газу для виробника теплової енергії, за такою формулою:</w:t>
      </w:r>
    </w:p>
    <w:p w14:paraId="453AC3A2" w14:textId="77777777" w:rsidR="007071F7" w:rsidRPr="007071F7" w:rsidRDefault="007071F7" w:rsidP="007071F7">
      <w:pPr>
        <w:shd w:val="clear" w:color="auto" w:fill="FFFFFF"/>
        <w:spacing w:after="100" w:line="240" w:lineRule="auto"/>
        <w:ind w:left="300" w:right="300"/>
        <w:jc w:val="center"/>
        <w:rPr>
          <w:rFonts w:ascii="Times New Roman" w:eastAsia="Times New Roman" w:hAnsi="Times New Roman" w:cs="Times New Roman"/>
          <w:color w:val="333333"/>
          <w:sz w:val="16"/>
          <w:szCs w:val="16"/>
          <w:lang w:eastAsia="ru-RU"/>
        </w:rPr>
      </w:pPr>
      <w:bookmarkStart w:id="84" w:name="n88"/>
      <w:bookmarkEnd w:id="84"/>
      <w:r w:rsidRPr="007071F7">
        <w:rPr>
          <w:rFonts w:ascii="Times New Roman" w:eastAsia="Times New Roman" w:hAnsi="Times New Roman" w:cs="Times New Roman"/>
          <w:color w:val="333333"/>
          <w:sz w:val="16"/>
          <w:szCs w:val="16"/>
          <w:lang w:eastAsia="ru-RU"/>
        </w:rPr>
        <w:t>P = P</w:t>
      </w:r>
      <w:r w:rsidRPr="007071F7">
        <w:rPr>
          <w:rFonts w:ascii="Times New Roman" w:eastAsia="Times New Roman" w:hAnsi="Times New Roman" w:cs="Times New Roman"/>
          <w:b/>
          <w:bCs/>
          <w:color w:val="333333"/>
          <w:sz w:val="16"/>
          <w:vertAlign w:val="subscript"/>
          <w:lang w:eastAsia="ru-RU"/>
        </w:rPr>
        <w:t>ueex</w:t>
      </w:r>
      <w:r w:rsidRPr="007071F7">
        <w:rPr>
          <w:rFonts w:ascii="Times New Roman" w:eastAsia="Times New Roman" w:hAnsi="Times New Roman" w:cs="Times New Roman"/>
          <w:color w:val="333333"/>
          <w:sz w:val="16"/>
          <w:szCs w:val="16"/>
          <w:lang w:eastAsia="ru-RU"/>
        </w:rPr>
        <w:t> х k1 х k2,</w:t>
      </w:r>
    </w:p>
    <w:p w14:paraId="7A6FFC1C"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5" w:name="n89"/>
      <w:bookmarkEnd w:id="85"/>
      <w:r w:rsidRPr="007071F7">
        <w:rPr>
          <w:rFonts w:ascii="Times New Roman" w:eastAsia="Times New Roman" w:hAnsi="Times New Roman" w:cs="Times New Roman"/>
          <w:color w:val="333333"/>
          <w:sz w:val="16"/>
          <w:szCs w:val="16"/>
          <w:lang w:eastAsia="ru-RU"/>
        </w:rPr>
        <w:t>де P - ціна природного газу для виробника теплової енергії;</w:t>
      </w:r>
    </w:p>
    <w:p w14:paraId="3527AB58"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6" w:name="n90"/>
      <w:bookmarkEnd w:id="86"/>
      <w:r w:rsidRPr="007071F7">
        <w:rPr>
          <w:rFonts w:ascii="Times New Roman" w:eastAsia="Times New Roman" w:hAnsi="Times New Roman" w:cs="Times New Roman"/>
          <w:color w:val="333333"/>
          <w:sz w:val="16"/>
          <w:szCs w:val="16"/>
          <w:lang w:eastAsia="ru-RU"/>
        </w:rPr>
        <w:t>P</w:t>
      </w:r>
      <w:r w:rsidRPr="007071F7">
        <w:rPr>
          <w:rFonts w:ascii="Times New Roman" w:eastAsia="Times New Roman" w:hAnsi="Times New Roman" w:cs="Times New Roman"/>
          <w:b/>
          <w:bCs/>
          <w:color w:val="333333"/>
          <w:sz w:val="16"/>
          <w:vertAlign w:val="subscript"/>
          <w:lang w:eastAsia="ru-RU"/>
        </w:rPr>
        <w:t>ueex</w:t>
      </w:r>
      <w:r w:rsidRPr="007071F7">
        <w:rPr>
          <w:rFonts w:ascii="Times New Roman" w:eastAsia="Times New Roman" w:hAnsi="Times New Roman" w:cs="Times New Roman"/>
          <w:color w:val="333333"/>
          <w:sz w:val="16"/>
          <w:szCs w:val="16"/>
          <w:lang w:eastAsia="ru-RU"/>
        </w:rPr>
        <w:t> - середньозважена ціна, що склалася на ресурс місяця, що передує місяцю постачання природного газу та склалася за результатами електронних біржових торгів на товарній біржі “Українська енергетична біржа” за всіма договорами, умовами оплати та базисами (в газотранспортній системі, газосховищах), та за всіма стандартизованими продуктами за напрямком “Природний газ”, за період з 1 по 20 (включно) числа місяця за всі торгові дні місяця, з урахуванням податку на додану вартість, у гривнях за 1000 куб. метрів газу;</w:t>
      </w:r>
    </w:p>
    <w:p w14:paraId="4DE51B78"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7" w:name="n91"/>
      <w:bookmarkEnd w:id="87"/>
      <w:r w:rsidRPr="007071F7">
        <w:rPr>
          <w:rFonts w:ascii="Times New Roman" w:eastAsia="Times New Roman" w:hAnsi="Times New Roman" w:cs="Times New Roman"/>
          <w:color w:val="333333"/>
          <w:sz w:val="16"/>
          <w:szCs w:val="16"/>
          <w:lang w:eastAsia="ru-RU"/>
        </w:rPr>
        <w:t>k1 - коригуючий коефіцієнт, що враховує вартість грошей у часі за обліковою ставкою Національного банку та середнім очікуванням прострочення оплати виробників теплової на рівні 80 календарних днів, за лінійними розрахунками, що становить 1,055;</w:t>
      </w:r>
    </w:p>
    <w:p w14:paraId="695BB5E4"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8" w:name="n92"/>
      <w:bookmarkEnd w:id="88"/>
      <w:r w:rsidRPr="007071F7">
        <w:rPr>
          <w:rFonts w:ascii="Times New Roman" w:eastAsia="Times New Roman" w:hAnsi="Times New Roman" w:cs="Times New Roman"/>
          <w:color w:val="333333"/>
          <w:sz w:val="16"/>
          <w:szCs w:val="16"/>
          <w:lang w:eastAsia="ru-RU"/>
        </w:rPr>
        <w:t>k2 - коригуючий коефіцієнт, націнка постачальника природного газу, що становить 1,050.</w:t>
      </w:r>
    </w:p>
    <w:p w14:paraId="7E5DC9DC"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89" w:name="n93"/>
      <w:bookmarkEnd w:id="89"/>
      <w:r w:rsidRPr="007071F7">
        <w:rPr>
          <w:rFonts w:ascii="Times New Roman" w:eastAsia="Times New Roman" w:hAnsi="Times New Roman" w:cs="Times New Roman"/>
          <w:color w:val="333333"/>
          <w:sz w:val="16"/>
          <w:szCs w:val="16"/>
          <w:lang w:eastAsia="ru-RU"/>
        </w:rPr>
        <w:t>Якщо протягом поточного місяця постачання природного газу не здійснювались електронні біржові торги на товарній біржі “Українська енергетична біржа” за всіма договорами, умовами оплати та базисами (в газотранспортній системі, газосховищах), ціна залишається на рівні попереднього місяця, що була розрахована за вищенаведеною формулою.</w:t>
      </w:r>
    </w:p>
    <w:p w14:paraId="6F15FB8C"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90" w:name="n94"/>
      <w:bookmarkEnd w:id="90"/>
      <w:r w:rsidRPr="007071F7">
        <w:rPr>
          <w:rFonts w:ascii="Times New Roman" w:eastAsia="Times New Roman" w:hAnsi="Times New Roman" w:cs="Times New Roman"/>
          <w:color w:val="333333"/>
          <w:sz w:val="16"/>
          <w:szCs w:val="16"/>
          <w:lang w:eastAsia="ru-RU"/>
        </w:rPr>
        <w:t>З метою формування тарифів на теплову енергію виробником теплової енергії використовується ціна природного газу обсягу II на рівні 16390 гривень з урахуванням податку на додану вартість за 1000 куб. метрів газу.”;</w:t>
      </w:r>
    </w:p>
    <w:p w14:paraId="3960292A"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91" w:name="n95"/>
      <w:bookmarkEnd w:id="91"/>
      <w:r w:rsidRPr="007071F7">
        <w:rPr>
          <w:rFonts w:ascii="Times New Roman" w:eastAsia="Times New Roman" w:hAnsi="Times New Roman" w:cs="Times New Roman"/>
          <w:color w:val="333333"/>
          <w:sz w:val="16"/>
          <w:szCs w:val="16"/>
          <w:lang w:eastAsia="ru-RU"/>
        </w:rPr>
        <w:t>доповнити </w:t>
      </w:r>
      <w:hyperlink r:id="rId38" w:anchor="n38" w:tgtFrame="_blank" w:history="1">
        <w:r w:rsidRPr="007071F7">
          <w:rPr>
            <w:rFonts w:ascii="Times New Roman" w:eastAsia="Times New Roman" w:hAnsi="Times New Roman" w:cs="Times New Roman"/>
            <w:color w:val="000099"/>
            <w:sz w:val="24"/>
            <w:szCs w:val="24"/>
            <w:u w:val="single"/>
            <w:lang w:eastAsia="ru-RU"/>
          </w:rPr>
          <w:t>додаток</w:t>
        </w:r>
      </w:hyperlink>
      <w:r w:rsidRPr="007071F7">
        <w:rPr>
          <w:rFonts w:ascii="Times New Roman" w:eastAsia="Times New Roman" w:hAnsi="Times New Roman" w:cs="Times New Roman"/>
          <w:color w:val="333333"/>
          <w:sz w:val="16"/>
          <w:szCs w:val="16"/>
          <w:lang w:eastAsia="ru-RU"/>
        </w:rPr>
        <w:t> пунктом 9 такого змісту:</w:t>
      </w:r>
    </w:p>
    <w:p w14:paraId="3917FB1D"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92" w:name="n96"/>
      <w:bookmarkEnd w:id="92"/>
      <w:r w:rsidRPr="007071F7">
        <w:rPr>
          <w:rFonts w:ascii="Times New Roman" w:eastAsia="Times New Roman" w:hAnsi="Times New Roman" w:cs="Times New Roman"/>
          <w:color w:val="333333"/>
          <w:sz w:val="16"/>
          <w:szCs w:val="16"/>
          <w:lang w:eastAsia="ru-RU"/>
        </w:rPr>
        <w:t>“9. У разі отримання економії природного газу за обсягом I-фіксованим та/або за обсягом III-фіксованим у розрахунковому періоді (місяці) відповідний обсяг природного газу може бути використаний виробником теплової енергії в наступних розрахункових періодах (місяцях) в межах відповідного фіксованого обсягу, визначеного на опалювальний період.</w:t>
      </w:r>
    </w:p>
    <w:p w14:paraId="68094C9E" w14:textId="77777777" w:rsidR="007071F7" w:rsidRPr="007071F7" w:rsidRDefault="007071F7" w:rsidP="007071F7">
      <w:pPr>
        <w:shd w:val="clear" w:color="auto" w:fill="FFFFFF"/>
        <w:spacing w:after="100" w:line="240" w:lineRule="auto"/>
        <w:ind w:firstLine="300"/>
        <w:jc w:val="both"/>
        <w:rPr>
          <w:rFonts w:ascii="Times New Roman" w:eastAsia="Times New Roman" w:hAnsi="Times New Roman" w:cs="Times New Roman"/>
          <w:color w:val="333333"/>
          <w:sz w:val="16"/>
          <w:szCs w:val="16"/>
          <w:lang w:eastAsia="ru-RU"/>
        </w:rPr>
      </w:pPr>
      <w:bookmarkStart w:id="93" w:name="n97"/>
      <w:bookmarkEnd w:id="93"/>
      <w:r w:rsidRPr="007071F7">
        <w:rPr>
          <w:rFonts w:ascii="Times New Roman" w:eastAsia="Times New Roman" w:hAnsi="Times New Roman" w:cs="Times New Roman"/>
          <w:color w:val="333333"/>
          <w:sz w:val="16"/>
          <w:szCs w:val="16"/>
          <w:lang w:eastAsia="ru-RU"/>
        </w:rPr>
        <w:t>У разі коли фактичне споживання природного газу виробником теплової енергії перевищує обсяг I-фіксований та/або обсяг III-фіксований, що визначені на опалювальний період відповідно, природний газ, використаний понад фіксовані обсяги, оплачується за ціною обсягу II.”.</w:t>
      </w:r>
    </w:p>
    <w:p w14:paraId="47CD355F" w14:textId="77777777" w:rsidR="00C15FAE" w:rsidRDefault="00C15FAE"/>
    <w:sectPr w:rsidR="00C15FAE" w:rsidSect="00C15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F7"/>
    <w:rsid w:val="00261384"/>
    <w:rsid w:val="007071F7"/>
    <w:rsid w:val="00C15FAE"/>
    <w:rsid w:val="00CE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2735CC"/>
  <w15:docId w15:val="{69B008A6-8D6A-41A7-B819-C414D999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071F7"/>
  </w:style>
  <w:style w:type="character" w:customStyle="1" w:styleId="rvts64">
    <w:name w:val="rvts64"/>
    <w:basedOn w:val="a0"/>
    <w:rsid w:val="007071F7"/>
  </w:style>
  <w:style w:type="character" w:customStyle="1" w:styleId="rvts9">
    <w:name w:val="rvts9"/>
    <w:basedOn w:val="a0"/>
    <w:rsid w:val="007071F7"/>
  </w:style>
  <w:style w:type="paragraph" w:customStyle="1" w:styleId="rvps6">
    <w:name w:val="rvps6"/>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7071F7"/>
  </w:style>
  <w:style w:type="character" w:styleId="a3">
    <w:name w:val="Hyperlink"/>
    <w:basedOn w:val="a0"/>
    <w:uiPriority w:val="99"/>
    <w:semiHidden/>
    <w:unhideWhenUsed/>
    <w:rsid w:val="007071F7"/>
    <w:rPr>
      <w:color w:val="0000FF"/>
      <w:u w:val="single"/>
    </w:rPr>
  </w:style>
  <w:style w:type="paragraph" w:customStyle="1" w:styleId="rvps4">
    <w:name w:val="rvps4"/>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071F7"/>
  </w:style>
  <w:style w:type="paragraph" w:customStyle="1" w:styleId="rvps15">
    <w:name w:val="rvps15"/>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071F7"/>
  </w:style>
  <w:style w:type="paragraph" w:customStyle="1" w:styleId="rvps3">
    <w:name w:val="rvps3"/>
    <w:basedOn w:val="a"/>
    <w:rsid w:val="0070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70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6451">
      <w:bodyDiv w:val="1"/>
      <w:marLeft w:val="0"/>
      <w:marRight w:val="0"/>
      <w:marTop w:val="0"/>
      <w:marBottom w:val="0"/>
      <w:divBdr>
        <w:top w:val="none" w:sz="0" w:space="0" w:color="auto"/>
        <w:left w:val="none" w:sz="0" w:space="0" w:color="auto"/>
        <w:bottom w:val="none" w:sz="0" w:space="0" w:color="auto"/>
        <w:right w:val="none" w:sz="0" w:space="0" w:color="auto"/>
      </w:divBdr>
      <w:divsChild>
        <w:div w:id="1608272271">
          <w:marLeft w:val="0"/>
          <w:marRight w:val="0"/>
          <w:marTop w:val="0"/>
          <w:marBottom w:val="100"/>
          <w:divBdr>
            <w:top w:val="none" w:sz="0" w:space="0" w:color="auto"/>
            <w:left w:val="none" w:sz="0" w:space="0" w:color="auto"/>
            <w:bottom w:val="none" w:sz="0" w:space="0" w:color="auto"/>
            <w:right w:val="none" w:sz="0" w:space="0" w:color="auto"/>
          </w:divBdr>
        </w:div>
        <w:div w:id="390926668">
          <w:marLeft w:val="0"/>
          <w:marRight w:val="0"/>
          <w:marTop w:val="0"/>
          <w:marBottom w:val="100"/>
          <w:divBdr>
            <w:top w:val="none" w:sz="0" w:space="0" w:color="auto"/>
            <w:left w:val="none" w:sz="0" w:space="0" w:color="auto"/>
            <w:bottom w:val="none" w:sz="0" w:space="0" w:color="auto"/>
            <w:right w:val="none" w:sz="0" w:space="0" w:color="auto"/>
          </w:divBdr>
        </w:div>
        <w:div w:id="485317486">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12-2022-%D0%BF" TargetMode="External"/><Relationship Id="rId18" Type="http://schemas.openxmlformats.org/officeDocument/2006/relationships/hyperlink" Target="https://zakon.rada.gov.ua/laws/show/329-19" TargetMode="External"/><Relationship Id="rId26" Type="http://schemas.openxmlformats.org/officeDocument/2006/relationships/hyperlink" Target="https://zakon.rada.gov.ua/laws/show/812-2022-%D0%BF" TargetMode="External"/><Relationship Id="rId39" Type="http://schemas.openxmlformats.org/officeDocument/2006/relationships/fontTable" Target="fontTable.xml"/><Relationship Id="rId21" Type="http://schemas.openxmlformats.org/officeDocument/2006/relationships/hyperlink" Target="https://zakon.rada.gov.ua/laws/show/329-19" TargetMode="External"/><Relationship Id="rId34" Type="http://schemas.openxmlformats.org/officeDocument/2006/relationships/hyperlink" Target="https://zakon.rada.gov.ua/laws/show/812-2022-%D0%BF" TargetMode="External"/><Relationship Id="rId7" Type="http://schemas.openxmlformats.org/officeDocument/2006/relationships/hyperlink" Target="https://zakon.rada.gov.ua/laws/show/812-2022-%D0%BF" TargetMode="External"/><Relationship Id="rId12" Type="http://schemas.openxmlformats.org/officeDocument/2006/relationships/hyperlink" Target="https://zakon.rada.gov.ua/laws/show/812-2022-%D0%BF" TargetMode="External"/><Relationship Id="rId17" Type="http://schemas.openxmlformats.org/officeDocument/2006/relationships/hyperlink" Target="https://zakon.rada.gov.ua/laws/show/1730-19" TargetMode="External"/><Relationship Id="rId25" Type="http://schemas.openxmlformats.org/officeDocument/2006/relationships/hyperlink" Target="https://zakon.rada.gov.ua/laws/show/812-2022-%D0%BF" TargetMode="External"/><Relationship Id="rId33" Type="http://schemas.openxmlformats.org/officeDocument/2006/relationships/hyperlink" Target="https://zakon.rada.gov.ua/laws/show/1730-19" TargetMode="External"/><Relationship Id="rId38" Type="http://schemas.openxmlformats.org/officeDocument/2006/relationships/hyperlink" Target="https://zakon.rada.gov.ua/laws/show/812-2022-%D0%BF" TargetMode="External"/><Relationship Id="rId2" Type="http://schemas.openxmlformats.org/officeDocument/2006/relationships/settings" Target="settings.xml"/><Relationship Id="rId16" Type="http://schemas.openxmlformats.org/officeDocument/2006/relationships/hyperlink" Target="https://zakon.rada.gov.ua/laws/show/329-19" TargetMode="External"/><Relationship Id="rId20" Type="http://schemas.openxmlformats.org/officeDocument/2006/relationships/hyperlink" Target="https://zakon.rada.gov.ua/laws/show/329-19" TargetMode="External"/><Relationship Id="rId29" Type="http://schemas.openxmlformats.org/officeDocument/2006/relationships/hyperlink" Target="https://zakon.rada.gov.ua/laws/show/812-2022-%D0%BF" TargetMode="External"/><Relationship Id="rId1" Type="http://schemas.openxmlformats.org/officeDocument/2006/relationships/styles" Target="styles.xml"/><Relationship Id="rId6" Type="http://schemas.openxmlformats.org/officeDocument/2006/relationships/hyperlink" Target="https://zakon.rada.gov.ua/laws/show/515-2023-%D0%BF" TargetMode="External"/><Relationship Id="rId11" Type="http://schemas.openxmlformats.org/officeDocument/2006/relationships/hyperlink" Target="https://zakon.rada.gov.ua/laws/show/869-2011-%D0%BF" TargetMode="External"/><Relationship Id="rId24" Type="http://schemas.openxmlformats.org/officeDocument/2006/relationships/hyperlink" Target="https://zakon.rada.gov.ua/laws/show/812-2022-%D0%BF" TargetMode="External"/><Relationship Id="rId32" Type="http://schemas.openxmlformats.org/officeDocument/2006/relationships/hyperlink" Target="https://zakon.rada.gov.ua/laws/show/1730-19" TargetMode="External"/><Relationship Id="rId37" Type="http://schemas.openxmlformats.org/officeDocument/2006/relationships/hyperlink" Target="https://zakon.rada.gov.ua/laws/show/222-2022-%D0%BF" TargetMode="External"/><Relationship Id="rId40" Type="http://schemas.openxmlformats.org/officeDocument/2006/relationships/theme" Target="theme/theme1.xml"/><Relationship Id="rId5" Type="http://schemas.openxmlformats.org/officeDocument/2006/relationships/hyperlink" Target="https://zakon.rada.gov.ua/laws/show/812-2022-%D0%BF" TargetMode="External"/><Relationship Id="rId15" Type="http://schemas.openxmlformats.org/officeDocument/2006/relationships/hyperlink" Target="https://zakon.rada.gov.ua/laws/show/329-19" TargetMode="External"/><Relationship Id="rId23" Type="http://schemas.openxmlformats.org/officeDocument/2006/relationships/hyperlink" Target="https://zakon.rada.gov.ua/laws/show/812-2022-%D0%BF" TargetMode="External"/><Relationship Id="rId28" Type="http://schemas.openxmlformats.org/officeDocument/2006/relationships/hyperlink" Target="https://zakon.rada.gov.ua/laws/show/812-2022-%D0%BF" TargetMode="External"/><Relationship Id="rId36" Type="http://schemas.openxmlformats.org/officeDocument/2006/relationships/hyperlink" Target="https://zakon.rada.gov.ua/laws/show/812-2022-%D0%BF" TargetMode="External"/><Relationship Id="rId10" Type="http://schemas.openxmlformats.org/officeDocument/2006/relationships/hyperlink" Target="https://zakon.rada.gov.ua/laws/show/812-2022-%D0%BF" TargetMode="External"/><Relationship Id="rId19" Type="http://schemas.openxmlformats.org/officeDocument/2006/relationships/hyperlink" Target="https://zakon.rada.gov.ua/laws/show/1730-19" TargetMode="External"/><Relationship Id="rId31" Type="http://schemas.openxmlformats.org/officeDocument/2006/relationships/hyperlink" Target="https://zakon.rada.gov.ua/laws/show/812-2022-%D0%BF" TargetMode="External"/><Relationship Id="rId4" Type="http://schemas.openxmlformats.org/officeDocument/2006/relationships/hyperlink" Target="https://zakon.rada.gov.ua/laws/show/869-2011-%D0%BF" TargetMode="External"/><Relationship Id="rId9" Type="http://schemas.openxmlformats.org/officeDocument/2006/relationships/hyperlink" Target="https://zakon.rada.gov.ua/laws/show/869-2011-%D0%BF" TargetMode="External"/><Relationship Id="rId14" Type="http://schemas.openxmlformats.org/officeDocument/2006/relationships/hyperlink" Target="https://zakon.rada.gov.ua/laws/show/1730-19" TargetMode="External"/><Relationship Id="rId22" Type="http://schemas.openxmlformats.org/officeDocument/2006/relationships/hyperlink" Target="https://zakon.rada.gov.ua/laws/show/812-2022-%D0%BF" TargetMode="External"/><Relationship Id="rId27" Type="http://schemas.openxmlformats.org/officeDocument/2006/relationships/hyperlink" Target="https://zakon.rada.gov.ua/laws/show/812-2022-%D0%BF" TargetMode="External"/><Relationship Id="rId30" Type="http://schemas.openxmlformats.org/officeDocument/2006/relationships/hyperlink" Target="https://zakon.rada.gov.ua/laws/show/812-2022-%D0%BF" TargetMode="External"/><Relationship Id="rId35" Type="http://schemas.openxmlformats.org/officeDocument/2006/relationships/hyperlink" Target="https://zakon.rada.gov.ua/laws/show/1730-19" TargetMode="External"/><Relationship Id="rId8" Type="http://schemas.openxmlformats.org/officeDocument/2006/relationships/hyperlink" Target="https://zakon.rada.gov.ua/laws/show/812-2022-%D0%B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16955</Words>
  <Characters>9665</Characters>
  <Application>Microsoft Office Word</Application>
  <DocSecurity>0</DocSecurity>
  <Lines>80</Lines>
  <Paragraphs>53</Paragraphs>
  <ScaleCrop>false</ScaleCrop>
  <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0200zv-TsibaE</dc:creator>
  <cp:lastModifiedBy>Адмін</cp:lastModifiedBy>
  <cp:revision>2</cp:revision>
  <dcterms:created xsi:type="dcterms:W3CDTF">2023-10-29T08:43:00Z</dcterms:created>
  <dcterms:modified xsi:type="dcterms:W3CDTF">2023-10-29T08:43:00Z</dcterms:modified>
</cp:coreProperties>
</file>