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fill="FFFFFF"/>
        <w:spacing w:lineRule="auto" w:line="240" w:before="0" w:after="0"/>
        <w:ind w:left="7597" w:right="0" w:hanging="0"/>
        <w:jc w:val="left"/>
        <w:rPr>
          <w:b/>
          <w:b/>
          <w:bCs/>
          <w:sz w:val="20"/>
          <w:szCs w:val="20"/>
        </w:rPr>
      </w:pPr>
      <w:bookmarkStart w:id="0" w:name="__DdeLink__2511_348272876"/>
      <w:bookmarkEnd w:id="0"/>
      <w:r>
        <w:rPr>
          <w:b/>
          <w:bCs/>
          <w:sz w:val="20"/>
          <w:szCs w:val="20"/>
        </w:rPr>
        <w:t>Додаток № 3</w:t>
      </w:r>
    </w:p>
    <w:p>
      <w:pPr>
        <w:pStyle w:val="NormalWeb"/>
        <w:shd w:val="clear" w:fill="FFFFFF"/>
        <w:spacing w:lineRule="auto" w:line="240" w:before="0" w:after="0"/>
        <w:ind w:left="7597" w:right="0" w:hanging="0"/>
        <w:jc w:val="left"/>
        <w:rPr/>
      </w:pPr>
      <w:r>
        <w:rPr>
          <w:sz w:val="20"/>
          <w:szCs w:val="20"/>
          <w:lang w:eastAsia="ru-RU"/>
        </w:rPr>
        <w:t>до Оголошення про</w:t>
      </w:r>
    </w:p>
    <w:p>
      <w:pPr>
        <w:pStyle w:val="NormalWeb"/>
        <w:shd w:val="clear" w:fill="FFFFFF"/>
        <w:spacing w:lineRule="auto" w:line="240" w:before="0" w:after="0"/>
        <w:ind w:left="0" w:right="0" w:firstLine="7597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проведення спрощеної </w:t>
      </w:r>
    </w:p>
    <w:p>
      <w:pPr>
        <w:pStyle w:val="NormalWeb"/>
        <w:shd w:val="clear" w:fill="FFFFFF"/>
        <w:spacing w:lineRule="auto" w:line="240" w:before="0" w:after="0"/>
        <w:ind w:left="0" w:right="0" w:firstLine="7597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закупівлі </w:t>
      </w:r>
    </w:p>
    <w:p>
      <w:pPr>
        <w:pStyle w:val="NormalWeb"/>
        <w:spacing w:before="0" w:after="0"/>
        <w:ind w:left="0" w:right="0"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bookmarkStart w:id="1" w:name="__DdeLink__2511_3482728761"/>
      <w:bookmarkEnd w:id="1"/>
      <w:r>
        <w:rPr>
          <w:rFonts w:eastAsia="Times New Roman" w:cs="Times New Roman"/>
          <w:b/>
          <w:color w:val="000000"/>
          <w:spacing w:val="14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bCs/>
          <w:i w:val="false"/>
          <w:iCs w:val="false"/>
          <w:color w:val="00000A"/>
          <w:sz w:val="24"/>
          <w:szCs w:val="24"/>
          <w:u w:val="none"/>
          <w:lang w:val="ru-RU" w:eastAsia="uk-UA"/>
        </w:rPr>
        <w:t xml:space="preserve">Предмет закупівлі: </w:t>
      </w:r>
      <w:bookmarkStart w:id="2" w:name="__DdeLink__4536_2403216637"/>
      <w:r>
        <w:rPr>
          <w:rStyle w:val="Ngbinding1"/>
          <w:rFonts w:cs="Times New Roman"/>
          <w:b/>
          <w:bCs/>
          <w:i w:val="false"/>
          <w:iCs w:val="false"/>
          <w:color w:val="00000A"/>
          <w:sz w:val="24"/>
          <w:szCs w:val="24"/>
          <w:u w:val="none"/>
          <w:lang w:val="ru-RU"/>
        </w:rPr>
        <w:t>ДК</w:t>
      </w:r>
      <w:r>
        <w:rPr>
          <w:b/>
          <w:bCs/>
          <w:i w:val="false"/>
          <w:iCs w:val="false"/>
          <w:color w:val="00000A"/>
          <w:sz w:val="24"/>
          <w:szCs w:val="24"/>
        </w:rPr>
        <w:t xml:space="preserve"> 021:2015 - </w:t>
      </w:r>
      <w:r>
        <w:rPr>
          <w:rStyle w:val="Ngbinding1"/>
          <w:rFonts w:eastAsia="SimSu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4"/>
          <w:szCs w:val="24"/>
          <w:u w:val="none"/>
          <w:lang w:val="uk-UA" w:eastAsia="ru-RU" w:bidi="hi-IN"/>
        </w:rPr>
        <w:t xml:space="preserve">44110000-4 Конструкційні матеріали </w:t>
      </w:r>
    </w:p>
    <w:p>
      <w:pPr>
        <w:pStyle w:val="Normal"/>
        <w:spacing w:before="0" w:after="0"/>
        <w:jc w:val="center"/>
        <w:rPr/>
      </w:pPr>
      <w:r>
        <w:rPr>
          <w:rStyle w:val="Ngbinding1"/>
          <w:rFonts w:eastAsia="SimSu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4"/>
          <w:szCs w:val="24"/>
          <w:highlight w:val="lightGray"/>
          <w:u w:val="none"/>
          <w:lang w:val="uk-UA" w:eastAsia="ru-RU" w:bidi="hi-IN"/>
        </w:rPr>
        <w:t>(</w:t>
      </w:r>
      <w:bookmarkStart w:id="3" w:name="__DdeLink__4768_2403216637"/>
      <w:r>
        <w:rPr>
          <w:rStyle w:val="Ngbinding1"/>
          <w:rFonts w:eastAsia="SimSu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shd w:fill="DDDDDD" w:val="clear"/>
          <w:em w:val="none"/>
          <w:lang w:val="uk-UA" w:eastAsia="ru-RU" w:bidi="hi-IN"/>
        </w:rPr>
        <w:t>Покриття ПВХ "Акцент Юніверсал"  2,0 м, 1 кл.</w:t>
      </w:r>
      <w:bookmarkEnd w:id="2"/>
      <w:bookmarkEnd w:id="3"/>
      <w:r>
        <w:rPr>
          <w:rStyle w:val="Ngbinding1"/>
          <w:rFonts w:eastAsia="SimSun" w:cs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4"/>
          <w:szCs w:val="24"/>
          <w:u w:val="none"/>
          <w:shd w:fill="DDDDDD" w:val="clear"/>
          <w:lang w:val="uk-UA" w:eastAsia="ru-RU" w:bidi="hi-IN"/>
        </w:rPr>
        <w:t>)</w:t>
      </w:r>
    </w:p>
    <w:p>
      <w:pPr>
        <w:pStyle w:val="Normal"/>
        <w:spacing w:before="0" w:after="0"/>
        <w:jc w:val="center"/>
        <w:rPr>
          <w:rStyle w:val="Ngbinding1"/>
          <w:rFonts w:eastAsia="SimSun" w:cs="Times New Roman"/>
          <w:b w:val="false"/>
          <w:b w:val="false"/>
          <w:bCs w:val="false"/>
          <w:i/>
          <w:i/>
          <w:iCs/>
          <w:caps w:val="false"/>
          <w:smallCaps w:val="false"/>
          <w:color w:val="00000A"/>
          <w:spacing w:val="0"/>
          <w:kern w:val="2"/>
          <w:sz w:val="22"/>
          <w:szCs w:val="22"/>
          <w:highlight w:val="yellow"/>
          <w:u w:val="none"/>
          <w:lang w:val="uk-UA" w:eastAsia="ru-RU" w:bidi="hi-IN"/>
        </w:rPr>
      </w:pPr>
      <w:r>
        <w:rPr>
          <w:rFonts w:eastAsia="SimSun" w:cs="Times New Roman"/>
          <w:b w:val="false"/>
          <w:bCs w:val="false"/>
          <w:i/>
          <w:iCs/>
          <w:caps w:val="false"/>
          <w:smallCaps w:val="false"/>
          <w:color w:val="00000A"/>
          <w:spacing w:val="0"/>
          <w:kern w:val="2"/>
          <w:sz w:val="22"/>
          <w:szCs w:val="22"/>
          <w:highlight w:val="yellow"/>
          <w:u w:val="none"/>
          <w:lang w:val="uk-UA" w:eastAsia="ru-RU" w:bidi="hi-IN"/>
        </w:rPr>
      </w:r>
    </w:p>
    <w:tbl>
      <w:tblPr>
        <w:tblW w:w="10669" w:type="dxa"/>
        <w:jc w:val="left"/>
        <w:tblInd w:w="-2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15"/>
        <w:gridCol w:w="2215"/>
        <w:gridCol w:w="660"/>
        <w:gridCol w:w="813"/>
        <w:gridCol w:w="6366"/>
      </w:tblGrid>
      <w:tr>
        <w:trPr>
          <w:trHeight w:val="845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Од. 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вим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Кіл-ть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Технічні та якісні вимоги до предмета закупівлі</w:t>
            </w:r>
          </w:p>
        </w:tc>
      </w:tr>
      <w:tr>
        <w:trPr>
          <w:trHeight w:val="355" w:hRule="atLeast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36"/>
              </w:rPr>
            </w:pPr>
            <w:bookmarkStart w:id="4" w:name="__DdeLink__4410_2403216637"/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Покриття ПВХ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"Акцент Юніверсал"</w:t>
            </w:r>
          </w:p>
          <w:p>
            <w:pPr>
              <w:pStyle w:val="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/>
              </w:rPr>
            </w:pPr>
            <w:bookmarkStart w:id="5" w:name="__DdeLink__4410_2403216637"/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  <w:bookmarkEnd w:id="5"/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2,0 м, 1 кл.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>м</w:t>
            </w: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  <w:vertAlign w:val="superscript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2"/>
                <w:szCs w:val="22"/>
                <w:shd w:fill="auto" w:val="clear"/>
              </w:rPr>
              <w:t>80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1"/>
              <w:numPr>
                <w:ilvl w:val="0"/>
                <w:numId w:val="2"/>
              </w:numPr>
              <w:spacing w:lineRule="auto" w:line="216" w:before="0" w:after="0"/>
              <w:jc w:val="left"/>
              <w:rPr>
                <w:rFonts w:ascii="Times New Roman" w:hAnsi="Times New Roman"/>
                <w:color w:val="0A0A28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A0A28"/>
                <w:spacing w:val="0"/>
                <w:sz w:val="22"/>
                <w:szCs w:val="22"/>
                <w:shd w:fill="auto" w:val="clear"/>
                <w:lang w:val="en-US"/>
              </w:rPr>
              <w:t xml:space="preserve">Лінолеум Tarkett Acczent Universal Antrazite Grey 2,0м,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shd w:fill="auto" w:val="clear"/>
                <w:lang w:val="en-US"/>
              </w:rPr>
              <w:t xml:space="preserve"> 1I</w:t>
            </w:r>
            <w:r>
              <w:rPr>
                <w:rFonts w:cs="Times New Roman" w:ascii="Times New Roman" w:hAnsi="Times New Roman"/>
                <w:b w:val="false"/>
                <w:bCs w:val="false"/>
                <w:color w:val="713C96"/>
                <w:sz w:val="22"/>
                <w:szCs w:val="22"/>
                <w:shd w:fill="auto" w:val="clear"/>
              </w:rPr>
              <w:t xml:space="preserve"> </w:t>
            </w:r>
          </w:p>
          <w:p>
            <w:pPr>
              <w:pStyle w:val="Normal"/>
              <w:spacing w:lineRule="auto" w:line="216" w:before="0" w:after="0"/>
              <w:jc w:val="lef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2"/>
                <w:szCs w:val="22"/>
                <w:shd w:fill="auto" w:val="clear"/>
              </w:rPr>
              <w:t xml:space="preserve">Ширина рулону (м):                                          </w:t>
            </w:r>
            <w:r>
              <w:rPr>
                <w:color w:val="00000A"/>
                <w:sz w:val="22"/>
                <w:szCs w:val="22"/>
              </w:rPr>
              <w:t>2м;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Довжина  рулону (м/п) / площа (м</w:t>
            </w:r>
            <w:r>
              <w:rPr>
                <w:color w:val="00000A"/>
                <w:sz w:val="22"/>
                <w:szCs w:val="22"/>
                <w:vertAlign w:val="superscript"/>
              </w:rPr>
              <w:t>2</w:t>
            </w:r>
            <w:r>
              <w:rPr>
                <w:color w:val="00000A"/>
                <w:position w:val="0"/>
                <w:sz w:val="22"/>
                <w:sz w:val="22"/>
                <w:szCs w:val="22"/>
                <w:vertAlign w:val="baseline"/>
              </w:rPr>
              <w:t>)</w:t>
            </w:r>
            <w:r>
              <w:rPr>
                <w:color w:val="00000A"/>
                <w:sz w:val="22"/>
                <w:szCs w:val="22"/>
              </w:rPr>
              <w:t>:               20/40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Товщина робочого шару від (мм):                    0,7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Загальна товщина (мм):                                     2,0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 зносостійкості:</w:t>
            </w:r>
            <w:r>
              <w:rPr>
                <w:sz w:val="22"/>
                <w:szCs w:val="22"/>
                <w:lang w:val="en-US"/>
              </w:rPr>
              <w:t xml:space="preserve">                         1</w:t>
            </w:r>
            <w:r>
              <w:rPr>
                <w:sz w:val="22"/>
                <w:szCs w:val="22"/>
                <w:lang w:val="uk-UA"/>
              </w:rPr>
              <w:t>кл.</w:t>
            </w:r>
            <w:r>
              <w:rPr>
                <w:sz w:val="22"/>
                <w:szCs w:val="22"/>
                <w:lang w:val="en-US"/>
              </w:rPr>
              <w:t xml:space="preserve"> 1I ( </w:t>
            </w:r>
            <w:r>
              <w:rPr>
                <w:sz w:val="22"/>
                <w:szCs w:val="22"/>
              </w:rPr>
              <w:t>43; 34</w:t>
            </w:r>
            <w:r>
              <w:rPr>
                <w:sz w:val="22"/>
                <w:szCs w:val="22"/>
                <w:lang w:val="en-US"/>
              </w:rPr>
              <w:t>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Бренд:                                                               Tarkett</w:t>
            </w:r>
          </w:p>
        </w:tc>
      </w:tr>
    </w:tbl>
    <w:p>
      <w:pPr>
        <w:pStyle w:val="Normal"/>
        <w:spacing w:before="0" w:after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283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  <w:t>Запропонований учасником товар обов’язково повинен відповідати усім наведеним технічним вимогам та характеристикам.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0"/>
        <w:ind w:left="0" w:right="0" w:firstLine="283"/>
        <w:jc w:val="both"/>
        <w:rPr/>
      </w:pPr>
      <w:r>
        <w:rPr>
          <w:rFonts w:cs="Times New Roman"/>
          <w:b/>
          <w:color w:val="000000"/>
          <w:sz w:val="24"/>
          <w:szCs w:val="24"/>
          <w:u w:val="none"/>
          <w:lang w:bidi="uk-UA"/>
        </w:rPr>
        <w:t xml:space="preserve">1. </w:t>
      </w:r>
      <w:r>
        <w:rPr>
          <w:rFonts w:cs="Times New Roman"/>
          <w:sz w:val="24"/>
          <w:szCs w:val="24"/>
        </w:rPr>
        <w:t>Строк (термін) поставки товару:  до 31 грудня 202</w:t>
      </w:r>
      <w:r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року. 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57" w:after="0"/>
        <w:ind w:left="0" w:right="0" w:firstLine="283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  <w:lang w:val="uk-UA"/>
        </w:rPr>
        <w:t>овар поставляється окремими партіями, згідно з заявками Замовника</w:t>
      </w:r>
      <w:r>
        <w:rPr>
          <w:rFonts w:cs="Times New Roman"/>
          <w:sz w:val="24"/>
          <w:szCs w:val="24"/>
        </w:rPr>
        <w:t xml:space="preserve">. </w:t>
      </w:r>
    </w:p>
    <w:p>
      <w:pPr>
        <w:pStyle w:val="Style17"/>
        <w:widowControl/>
        <w:suppressAutoHyphens w:val="true"/>
        <w:overflowPunct w:val="false"/>
        <w:bidi w:val="0"/>
        <w:spacing w:lineRule="auto" w:line="276" w:before="0" w:after="57"/>
        <w:ind w:left="0" w:right="0" w:firstLine="17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Поставка Товару Постачальником здійснюється протягом 3</w:t>
      </w:r>
      <w:r>
        <w:rPr>
          <w:rFonts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(трьох) робочих дня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після надіслання заявки від Покупця.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283"/>
        <w:jc w:val="both"/>
        <w:rPr/>
      </w:pPr>
      <w:r>
        <w:rPr>
          <w:rFonts w:cs="Times New Roman"/>
          <w:sz w:val="24"/>
          <w:szCs w:val="24"/>
        </w:rPr>
        <w:t>2. Місце п</w:t>
      </w:r>
      <w:r>
        <w:rPr>
          <w:rFonts w:cs="Times New Roman"/>
          <w:sz w:val="24"/>
          <w:szCs w:val="24"/>
          <w:lang w:val="uk-UA" w:eastAsia="en-US" w:bidi="ar-SA"/>
        </w:rPr>
        <w:t>ост</w:t>
      </w:r>
      <w:r>
        <w:rPr>
          <w:rFonts w:cs="Times New Roman"/>
          <w:b w:val="false"/>
          <w:bCs w:val="false"/>
          <w:sz w:val="24"/>
          <w:szCs w:val="24"/>
          <w:lang w:val="uk-UA" w:eastAsia="en-US" w:bidi="ar-SA"/>
        </w:rPr>
        <w:t xml:space="preserve">авки товару: </w:t>
      </w:r>
      <w:bookmarkStart w:id="6" w:name="__DdeLink__8331_1770087761"/>
      <w:r>
        <w:rPr>
          <w:rFonts w:cs="Times New Roman"/>
          <w:b w:val="false"/>
          <w:bCs w:val="false"/>
          <w:color w:val="000000"/>
          <w:sz w:val="24"/>
          <w:szCs w:val="24"/>
          <w:lang w:val="uk-UA" w:eastAsia="en-US" w:bidi="ar-SA"/>
        </w:rPr>
        <w:t>вул.Данила Галицького, 23, м. Рівне, Рівненська область, 33027</w:t>
      </w:r>
      <w:bookmarkEnd w:id="6"/>
      <w:r>
        <w:rPr>
          <w:rFonts w:cs="Times New Roman"/>
          <w:b w:val="false"/>
          <w:bCs w:val="false"/>
          <w:color w:val="000000"/>
          <w:sz w:val="24"/>
          <w:szCs w:val="24"/>
          <w:lang w:val="uk-UA" w:eastAsia="en-US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283"/>
        <w:jc w:val="both"/>
        <w:rPr/>
      </w:pPr>
      <w:r>
        <w:rPr>
          <w:rFonts w:cs="Times New Roman"/>
          <w:b/>
          <w:bCs/>
          <w:sz w:val="24"/>
          <w:szCs w:val="24"/>
        </w:rPr>
        <w:t xml:space="preserve">3. </w:t>
      </w:r>
      <w:r>
        <w:rPr>
          <w:rFonts w:cs="Times New Roman"/>
          <w:b w:val="false"/>
          <w:bCs w:val="false"/>
          <w:sz w:val="24"/>
          <w:szCs w:val="24"/>
        </w:rPr>
        <w:t xml:space="preserve">Товар, який постачається, повинен бути новим, без дефектів, термін та умови його зберігання не порушені. 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283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val="uk-UA" w:eastAsia="en-US" w:bidi="ar-SA"/>
        </w:rPr>
        <w:t>Товар (упаковка) повинен містити маркування відповідно до стандартів виробника, що дає можливість ідентифікувати товар, його походжен</w:t>
      </w:r>
      <w:r>
        <w:rPr>
          <w:rFonts w:cs="Times New Roman"/>
          <w:b w:val="false"/>
          <w:bCs w:val="false"/>
          <w:sz w:val="24"/>
          <w:szCs w:val="24"/>
        </w:rPr>
        <w:t>ня, дату виробництва. Товар повинен бути упакований належним чином, що забезпечує його збереження при перевезенні та зберіганні. Упаковка повинна бути безпечною при експлуатації, перевезенні та вантажно-розвантажувальних роботах.</w:t>
      </w:r>
    </w:p>
    <w:p>
      <w:pPr>
        <w:pStyle w:val="NormalWeb"/>
        <w:widowControl/>
        <w:suppressAutoHyphens w:val="true"/>
        <w:overflowPunct w:val="false"/>
        <w:bidi w:val="0"/>
        <w:spacing w:lineRule="auto" w:line="276" w:before="0" w:after="0"/>
        <w:ind w:left="0" w:righ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Строк гарантії на Товар – не менше гарантійного строку заводу-виробника.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283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lang w:val="uk-UA" w:eastAsia="uk-UA"/>
        </w:rPr>
        <w:t>4.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Якість Товару повинна відповідати вимогам діючих стандартів, технічним умовам, які пред’являються до даного Товару (ДСТУ, ГОСТ, ТУ).</w:t>
      </w:r>
    </w:p>
    <w:p>
      <w:pPr>
        <w:pStyle w:val="Normal"/>
        <w:widowControl/>
        <w:tabs>
          <w:tab w:val="left" w:pos="0" w:leader="none"/>
        </w:tabs>
        <w:suppressAutoHyphens w:val="true"/>
        <w:overflowPunct w:val="false"/>
        <w:bidi w:val="0"/>
        <w:spacing w:lineRule="auto" w:line="276" w:before="0" w:after="0"/>
        <w:ind w:left="0" w:right="0" w:firstLine="283"/>
        <w:jc w:val="both"/>
        <w:rPr/>
      </w:pPr>
      <w:r>
        <w:rPr>
          <w:rFonts w:eastAsia="Times New Roman" w:cs="Times New Roman"/>
          <w:color w:val="222222"/>
          <w:sz w:val="24"/>
          <w:szCs w:val="24"/>
          <w:lang w:val="uk-UA" w:eastAsia="uk-UA"/>
        </w:rPr>
        <w:t>Учасник гарантує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надання на вимогу Замовника, при поставці партій Товарів,</w:t>
      </w:r>
      <w:r>
        <w:rPr>
          <w:rFonts w:eastAsia="Times New Roman" w:cs="Times New Roman"/>
          <w:sz w:val="24"/>
          <w:szCs w:val="24"/>
          <w:lang w:val="uk-UA" w:eastAsia="uk-UA"/>
        </w:rPr>
        <w:t xml:space="preserve"> завірених копій документів, які засвідчують якісні, конструктивні, технічні характеристики </w:t>
      </w:r>
      <w:r>
        <w:rPr>
          <w:rFonts w:eastAsia="Times New Roman" w:cs="Times New Roman"/>
          <w:color w:val="222222"/>
          <w:sz w:val="24"/>
          <w:szCs w:val="24"/>
          <w:lang w:val="uk-UA" w:eastAsia="uk-UA"/>
        </w:rPr>
        <w:t>товару</w:t>
      </w:r>
      <w:r>
        <w:rPr>
          <w:rFonts w:eastAsia="Times New Roman" w:cs="Times New Roman"/>
          <w:sz w:val="24"/>
          <w:szCs w:val="24"/>
          <w:lang w:val="uk-UA" w:eastAsia="uk-UA"/>
        </w:rPr>
        <w:t xml:space="preserve">, його походження (копії технічних умов; сертифікатів відповідності; технічних паспортів, санітарно-епідеміологічних та гігієнічних висновків та/або інших відповідних документів передбачених законодавством для товарів даного виду). 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283"/>
        <w:jc w:val="both"/>
        <w:rPr/>
      </w:pPr>
      <w:r>
        <w:rPr>
          <w:rFonts w:eastAsia="Times New Roman" w:cs="Times New Roman"/>
          <w:color w:val="222222"/>
          <w:sz w:val="24"/>
          <w:szCs w:val="24"/>
        </w:rPr>
        <w:t xml:space="preserve"> </w:t>
      </w:r>
      <w:r>
        <w:rPr>
          <w:rFonts w:cs="Times New Roman"/>
          <w:color w:val="222222"/>
          <w:sz w:val="24"/>
          <w:szCs w:val="24"/>
        </w:rPr>
        <w:t>Учасник гарантує, що п</w:t>
      </w:r>
      <w:r>
        <w:rPr>
          <w:rFonts w:cs="Times New Roman"/>
          <w:sz w:val="24"/>
          <w:szCs w:val="24"/>
        </w:rPr>
        <w:t>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>
      <w:pPr>
        <w:pStyle w:val="Normal"/>
        <w:bidi w:val="0"/>
        <w:spacing w:lineRule="auto" w:line="276" w:before="0" w:after="0"/>
        <w:ind w:left="0" w:right="0" w:firstLine="539"/>
        <w:jc w:val="both"/>
        <w:rPr/>
      </w:pPr>
      <w:r>
        <w:rPr/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eastAsia="Times New Roman" w:cs="Times New Roman"/>
        </w:rPr>
        <w:t xml:space="preserve"> </w:t>
      </w:r>
      <w:r>
        <w:rPr>
          <w:rFonts w:cs="Times New Roman"/>
          <w:b w:val="false"/>
          <w:color w:val="000000"/>
          <w:sz w:val="28"/>
          <w:u w:val="none"/>
          <w:lang w:val="uk-UA" w:bidi="hi-IN"/>
        </w:rPr>
        <w:t>___________________  _____________________   _________________________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b w:val="false"/>
          <w:b w:val="false"/>
          <w:color w:val="000000"/>
          <w:sz w:val="16"/>
          <w:lang w:val="uk-UA" w:bidi="hi-IN"/>
        </w:rPr>
      </w:pPr>
      <w:r>
        <w:rPr>
          <w:rFonts w:cs="Times New Roman"/>
          <w:b w:val="false"/>
          <w:color w:val="000000"/>
          <w:sz w:val="16"/>
          <w:lang w:val="uk-UA" w:bidi="hi-IN"/>
        </w:rPr>
        <w:t>(Посада  уповноваженої особи Учасника)      (підпис уповноваженої особи Учасника)     (Прізвище, ініціали уповноваженої особи Учасника)</w:t>
      </w:r>
    </w:p>
    <w:p>
      <w:pPr>
        <w:pStyle w:val="Normal"/>
        <w:widowControl/>
        <w:tabs>
          <w:tab w:val="left" w:pos="0" w:leader="none"/>
          <w:tab w:val="left" w:pos="142" w:leader="none"/>
        </w:tabs>
        <w:bidi w:val="0"/>
        <w:snapToGrid w:val="false"/>
        <w:spacing w:lineRule="auto" w:line="276" w:before="0" w:after="0"/>
        <w:ind w:left="0" w:right="0" w:firstLine="708"/>
        <w:jc w:val="left"/>
        <w:rPr/>
      </w:pPr>
      <w:r>
        <w:rPr>
          <w:rFonts w:eastAsia="Times New Roman" w:cs="Times New Roman"/>
          <w:b w:val="false"/>
          <w:bCs w:val="false"/>
          <w:i/>
          <w:iCs w:val="false"/>
          <w:color w:val="000000"/>
          <w:sz w:val="16"/>
          <w:szCs w:val="24"/>
          <w:u w:val="none"/>
          <w:lang w:val="uk-UA" w:eastAsia="ru-RU" w:bidi="hi-IN"/>
        </w:rPr>
        <w:t>(печатка) у разі наявності</w:t>
      </w:r>
    </w:p>
    <w:sectPr>
      <w:type w:val="nextPage"/>
      <w:pgSz w:w="11906" w:h="16838"/>
      <w:pgMar w:left="450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422"/>
    <w:pPr>
      <w:widowControl/>
      <w:bidi w:val="0"/>
      <w:spacing w:lineRule="auto" w:line="276" w:before="0" w:after="120"/>
      <w:jc w:val="both"/>
    </w:pPr>
    <w:rPr>
      <w:rFonts w:ascii="Times New Roman" w:hAnsi="Times New Roman" w:eastAsia="Calibri" w:cs="" w:cstheme="minorBidi" w:eastAsiaTheme="minorHAnsi"/>
      <w:color w:val="00000A"/>
      <w:kern w:val="0"/>
      <w:sz w:val="28"/>
      <w:szCs w:val="22"/>
      <w:lang w:val="uk-UA" w:eastAsia="en-US" w:bidi="ar-SA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7422d"/>
    <w:rPr>
      <w:rFonts w:ascii="Segoe UI" w:hAnsi="Segoe UI" w:cs="Segoe UI"/>
      <w:sz w:val="18"/>
      <w:szCs w:val="18"/>
    </w:rPr>
  </w:style>
  <w:style w:type="character" w:styleId="Ngbinding1">
    <w:name w:val="ng-binding1"/>
    <w:basedOn w:val="DefaultParagraphFont"/>
    <w:qFormat/>
    <w:rPr/>
  </w:style>
  <w:style w:type="character" w:styleId="Style14">
    <w:name w:val="Виділення жирним"/>
    <w:qFormat/>
    <w:rPr>
      <w:b/>
      <w:bCs/>
    </w:rPr>
  </w:style>
  <w:style w:type="character" w:styleId="Style15">
    <w:name w:val="Основной шрифт абзаца"/>
    <w:qFormat/>
    <w:rPr/>
  </w:style>
  <w:style w:type="character" w:styleId="Bglproductattrname">
    <w:name w:val="bgl-product-attr__name"/>
    <w:basedOn w:val="Style15"/>
    <w:qFormat/>
    <w:rPr/>
  </w:style>
  <w:style w:type="character" w:styleId="Docdata">
    <w:name w:val="docdata"/>
    <w:basedOn w:val="Style15"/>
    <w:qFormat/>
    <w:rPr/>
  </w:style>
  <w:style w:type="character" w:styleId="Strong">
    <w:name w:val="strong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 w:customStyle="1">
    <w:name w:val="Содержимое таблицы"/>
    <w:basedOn w:val="Normal"/>
    <w:qFormat/>
    <w:rsid w:val="00c25f18"/>
    <w:pPr>
      <w:suppressLineNumbers/>
      <w:suppressAutoHyphens w:val="true"/>
      <w:spacing w:lineRule="auto" w:line="240" w:before="0" w:after="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742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e3f"/>
    <w:pPr>
      <w:spacing w:before="0" w:after="120"/>
      <w:ind w:left="720" w:hanging="0"/>
      <w:contextualSpacing/>
    </w:pPr>
    <w:rPr/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enter" w:pos="5303" w:leader="none"/>
        <w:tab w:val="right" w:pos="10606" w:leader="none"/>
      </w:tabs>
    </w:pPr>
    <w:rPr/>
  </w:style>
  <w:style w:type="paragraph" w:styleId="Style26">
    <w:name w:val="Footer"/>
    <w:basedOn w:val="Style25"/>
    <w:pPr>
      <w:suppressLineNumbers/>
      <w:tabs>
        <w:tab w:val="center" w:pos="5303" w:leader="none"/>
        <w:tab w:val="right" w:pos="106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Application>LibreOffice/5.4.7.2$Windows_X86_64 LibreOffice_project/c838ef25c16710f8838b1faec480ebba495259d0</Application>
  <Pages>1</Pages>
  <Words>321</Words>
  <Characters>2243</Characters>
  <CharactersWithSpaces>2752</CharactersWithSpaces>
  <Paragraphs>40</Paragraphs>
  <Company>КП МТТУ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2020-01-28T13:22:00Z</dcterms:created>
  <dc:creator>Евгений</dc:creator>
  <dc:description/>
  <dc:language>uk-UA</dc:language>
  <cp:lastModifiedBy/>
  <cp:lastPrinted>2020-12-30T10:30:13Z</cp:lastPrinted>
  <dcterms:modified xsi:type="dcterms:W3CDTF">2022-08-25T09:58:36Z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КП МТТУ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