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336880AC" w:rsidR="00260083" w:rsidRDefault="005F5CD9"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29</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51</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70A18A52" w:rsidR="00B06910" w:rsidRPr="00B06910" w:rsidRDefault="00BC6183"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проце</w:t>
      </w:r>
      <w:r w:rsidR="00B06910" w:rsidRPr="00B06910">
        <w:rPr>
          <w:rFonts w:ascii="Times New Roman CYR" w:eastAsia="Calibri" w:hAnsi="Times New Roman CYR" w:cs="Times New Roman CYR"/>
          <w:color w:val="000000"/>
          <w:sz w:val="28"/>
          <w:szCs w:val="28"/>
          <w:lang w:val="uk-UA" w:eastAsia="zh-CN"/>
        </w:rPr>
        <w:t>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7F3B588C"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22C0FA08" w14:textId="77777777" w:rsidR="00EE5CDF" w:rsidRDefault="00EE5CD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E7C1BE8" w14:textId="77777777" w:rsidR="00EE5CDF" w:rsidRDefault="00EE5CDF" w:rsidP="00EE5CDF">
      <w:pPr>
        <w:keepNext/>
        <w:shd w:val="clear" w:color="auto" w:fill="FDFEFD"/>
        <w:spacing w:after="0" w:line="240" w:lineRule="auto"/>
        <w:jc w:val="center"/>
        <w:textAlignment w:val="baseline"/>
        <w:outlineLvl w:val="1"/>
        <w:rPr>
          <w:rFonts w:ascii="Times New Roman" w:eastAsia="Times New Roman" w:hAnsi="Times New Roman" w:cs="Times New Roman"/>
          <w:b/>
          <w:bCs/>
          <w:iCs/>
          <w:color w:val="000000"/>
          <w:sz w:val="28"/>
          <w:szCs w:val="28"/>
          <w:lang w:val="uk-UA" w:eastAsia="zh-CN"/>
        </w:rPr>
      </w:pPr>
      <w:r w:rsidRPr="00EE5CDF">
        <w:rPr>
          <w:rFonts w:ascii="Times New Roman" w:eastAsia="Times New Roman" w:hAnsi="Times New Roman" w:cs="Times New Roman"/>
          <w:b/>
          <w:bCs/>
          <w:iCs/>
          <w:color w:val="000000"/>
          <w:sz w:val="28"/>
          <w:szCs w:val="28"/>
          <w:lang w:val="uk-UA" w:eastAsia="zh-CN"/>
        </w:rPr>
        <w:t xml:space="preserve">Рис, крупи </w:t>
      </w:r>
    </w:p>
    <w:p w14:paraId="1B7ABF71" w14:textId="27599419" w:rsidR="00EE5CDF" w:rsidRDefault="00EE5CDF" w:rsidP="00EE5CDF">
      <w:pPr>
        <w:keepNext/>
        <w:shd w:val="clear" w:color="auto" w:fill="FDFEFD"/>
        <w:spacing w:after="0" w:line="240" w:lineRule="auto"/>
        <w:jc w:val="center"/>
        <w:textAlignment w:val="baseline"/>
        <w:outlineLvl w:val="1"/>
        <w:rPr>
          <w:rFonts w:ascii="Times New Roman" w:eastAsia="Times New Roman" w:hAnsi="Times New Roman" w:cs="Times New Roman"/>
          <w:b/>
          <w:bCs/>
          <w:iCs/>
          <w:color w:val="000000"/>
          <w:sz w:val="28"/>
          <w:szCs w:val="28"/>
          <w:lang w:val="uk-UA" w:eastAsia="zh-CN"/>
        </w:rPr>
      </w:pPr>
      <w:r w:rsidRPr="00EE5CDF">
        <w:rPr>
          <w:rFonts w:ascii="Times New Roman" w:eastAsia="Times New Roman" w:hAnsi="Times New Roman" w:cs="Times New Roman"/>
          <w:b/>
          <w:bCs/>
          <w:iCs/>
          <w:color w:val="000000"/>
          <w:sz w:val="28"/>
          <w:szCs w:val="28"/>
          <w:lang w:val="uk-UA" w:eastAsia="zh-CN"/>
        </w:rPr>
        <w:t>(пшенична, ячмін</w:t>
      </w:r>
      <w:r w:rsidR="00C51452">
        <w:rPr>
          <w:rFonts w:ascii="Times New Roman" w:eastAsia="Times New Roman" w:hAnsi="Times New Roman" w:cs="Times New Roman"/>
          <w:b/>
          <w:bCs/>
          <w:iCs/>
          <w:color w:val="000000"/>
          <w:sz w:val="28"/>
          <w:szCs w:val="28"/>
          <w:lang w:val="uk-UA" w:eastAsia="zh-CN"/>
        </w:rPr>
        <w:t>н</w:t>
      </w:r>
      <w:r w:rsidRPr="00EE5CDF">
        <w:rPr>
          <w:rFonts w:ascii="Times New Roman" w:eastAsia="Times New Roman" w:hAnsi="Times New Roman" w:cs="Times New Roman"/>
          <w:b/>
          <w:bCs/>
          <w:iCs/>
          <w:color w:val="000000"/>
          <w:sz w:val="28"/>
          <w:szCs w:val="28"/>
          <w:lang w:val="uk-UA" w:eastAsia="zh-CN"/>
        </w:rPr>
        <w:t>а, перлова, вівсяна, гречана, кукурудзяна, горох)</w:t>
      </w:r>
    </w:p>
    <w:p w14:paraId="6C47B8E0" w14:textId="14019340" w:rsidR="00EE5CDF" w:rsidRPr="00EE5CDF" w:rsidRDefault="00EE5CDF" w:rsidP="00EE5CDF">
      <w:pPr>
        <w:keepNext/>
        <w:shd w:val="clear" w:color="auto" w:fill="FDFEFD"/>
        <w:spacing w:after="0" w:line="240" w:lineRule="auto"/>
        <w:jc w:val="center"/>
        <w:textAlignment w:val="baseline"/>
        <w:outlineLvl w:val="1"/>
        <w:rPr>
          <w:rFonts w:ascii="Times New Roman" w:eastAsia="Times New Roman" w:hAnsi="Times New Roman" w:cs="Times New Roman"/>
          <w:b/>
          <w:color w:val="000000"/>
          <w:sz w:val="28"/>
          <w:szCs w:val="28"/>
          <w:lang w:eastAsia="ru-RU"/>
        </w:rPr>
      </w:pPr>
      <w:r w:rsidRPr="00EE5CDF">
        <w:rPr>
          <w:rFonts w:ascii="Times New Roman" w:eastAsia="Times New Roman" w:hAnsi="Times New Roman" w:cs="Times New Roman"/>
          <w:b/>
          <w:bCs/>
          <w:iCs/>
          <w:color w:val="000000"/>
          <w:sz w:val="28"/>
          <w:szCs w:val="28"/>
          <w:lang w:val="uk-UA" w:eastAsia="zh-CN"/>
        </w:rPr>
        <w:t xml:space="preserve"> за</w:t>
      </w:r>
      <w:r>
        <w:rPr>
          <w:rFonts w:ascii="Times New Roman" w:eastAsia="Times New Roman" w:hAnsi="Times New Roman" w:cs="Times New Roman"/>
          <w:b/>
          <w:bCs/>
          <w:iCs/>
          <w:color w:val="000000"/>
          <w:sz w:val="28"/>
          <w:szCs w:val="28"/>
          <w:lang w:val="uk-UA" w:eastAsia="zh-CN"/>
        </w:rPr>
        <w:t xml:space="preserve"> </w:t>
      </w:r>
      <w:r w:rsidRPr="00EE5CDF">
        <w:rPr>
          <w:rFonts w:ascii="Times New Roman" w:eastAsia="Times New Roman" w:hAnsi="Times New Roman" w:cs="Times New Roman"/>
          <w:b/>
          <w:bCs/>
          <w:iCs/>
          <w:color w:val="000000"/>
          <w:sz w:val="28"/>
          <w:szCs w:val="28"/>
          <w:lang w:val="uk-UA" w:eastAsia="zh-CN"/>
        </w:rPr>
        <w:t xml:space="preserve">ДК 021:2015: </w:t>
      </w:r>
      <w:r w:rsidRPr="00EE5CDF">
        <w:rPr>
          <w:rFonts w:ascii="Times New Roman" w:eastAsia="Times New Roman" w:hAnsi="Times New Roman" w:cs="Times New Roman"/>
          <w:b/>
          <w:color w:val="000000"/>
          <w:sz w:val="28"/>
          <w:szCs w:val="28"/>
          <w:lang w:eastAsia="ru-RU"/>
        </w:rPr>
        <w:t xml:space="preserve">15610000-7 - </w:t>
      </w:r>
      <w:proofErr w:type="spellStart"/>
      <w:r w:rsidRPr="00EE5CDF">
        <w:rPr>
          <w:rFonts w:ascii="Times New Roman" w:eastAsia="Times New Roman" w:hAnsi="Times New Roman" w:cs="Times New Roman"/>
          <w:b/>
          <w:color w:val="000000"/>
          <w:sz w:val="28"/>
          <w:szCs w:val="28"/>
          <w:lang w:eastAsia="ru-RU"/>
        </w:rPr>
        <w:t>Продукція</w:t>
      </w:r>
      <w:proofErr w:type="spellEnd"/>
      <w:r w:rsidRPr="00EE5CDF">
        <w:rPr>
          <w:rFonts w:ascii="Times New Roman" w:eastAsia="Times New Roman" w:hAnsi="Times New Roman" w:cs="Times New Roman"/>
          <w:b/>
          <w:color w:val="000000"/>
          <w:sz w:val="28"/>
          <w:szCs w:val="28"/>
          <w:lang w:eastAsia="ru-RU"/>
        </w:rPr>
        <w:t xml:space="preserve"> </w:t>
      </w:r>
      <w:proofErr w:type="spellStart"/>
      <w:r w:rsidRPr="00EE5CDF">
        <w:rPr>
          <w:rFonts w:ascii="Times New Roman" w:eastAsia="Times New Roman" w:hAnsi="Times New Roman" w:cs="Times New Roman"/>
          <w:b/>
          <w:color w:val="000000"/>
          <w:sz w:val="28"/>
          <w:szCs w:val="28"/>
          <w:lang w:eastAsia="ru-RU"/>
        </w:rPr>
        <w:t>борошномельно-круп'яної</w:t>
      </w:r>
      <w:proofErr w:type="spellEnd"/>
      <w:r w:rsidRPr="00EE5CDF">
        <w:rPr>
          <w:rFonts w:ascii="Times New Roman" w:eastAsia="Times New Roman" w:hAnsi="Times New Roman" w:cs="Times New Roman"/>
          <w:b/>
          <w:color w:val="000000"/>
          <w:sz w:val="28"/>
          <w:szCs w:val="28"/>
          <w:lang w:eastAsia="ru-RU"/>
        </w:rPr>
        <w:t xml:space="preserve"> </w:t>
      </w:r>
      <w:proofErr w:type="spellStart"/>
      <w:r w:rsidRPr="00EE5CDF">
        <w:rPr>
          <w:rFonts w:ascii="Times New Roman" w:eastAsia="Times New Roman" w:hAnsi="Times New Roman" w:cs="Times New Roman"/>
          <w:b/>
          <w:color w:val="000000"/>
          <w:sz w:val="28"/>
          <w:szCs w:val="28"/>
          <w:lang w:eastAsia="ru-RU"/>
        </w:rPr>
        <w:t>промисловості</w:t>
      </w:r>
      <w:proofErr w:type="spellEnd"/>
    </w:p>
    <w:p w14:paraId="6FF62094" w14:textId="77777777" w:rsidR="006A2693" w:rsidRPr="00EE5CDF" w:rsidRDefault="006A2693"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F" w14:textId="77777777" w:rsidR="00EF3EBB" w:rsidRPr="00EE5CDF"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260083"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3DFC7111" w14:textId="11569713" w:rsidR="006A2693" w:rsidRDefault="00EE5CDF" w:rsidP="00EE5CDF">
            <w:pPr>
              <w:keepNext/>
              <w:shd w:val="clear" w:color="auto" w:fill="FDFEFD"/>
              <w:spacing w:after="0" w:line="240" w:lineRule="auto"/>
              <w:jc w:val="both"/>
              <w:textAlignment w:val="baseline"/>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iCs/>
                <w:color w:val="000000"/>
                <w:sz w:val="24"/>
                <w:szCs w:val="24"/>
                <w:lang w:val="uk-UA" w:eastAsia="zh-CN"/>
              </w:rPr>
              <w:t>Р</w:t>
            </w:r>
            <w:r w:rsidRPr="00EE5CDF">
              <w:rPr>
                <w:rFonts w:ascii="Times New Roman" w:eastAsia="Times New Roman" w:hAnsi="Times New Roman" w:cs="Times New Roman"/>
                <w:b/>
                <w:bCs/>
                <w:iCs/>
                <w:color w:val="000000"/>
                <w:sz w:val="24"/>
                <w:szCs w:val="24"/>
                <w:lang w:val="uk-UA" w:eastAsia="zh-CN"/>
              </w:rPr>
              <w:t>ис, крупи (пшенична, ячмі</w:t>
            </w:r>
            <w:r w:rsidR="002928D1">
              <w:rPr>
                <w:rFonts w:ascii="Times New Roman" w:eastAsia="Times New Roman" w:hAnsi="Times New Roman" w:cs="Times New Roman"/>
                <w:b/>
                <w:bCs/>
                <w:iCs/>
                <w:color w:val="000000"/>
                <w:sz w:val="24"/>
                <w:szCs w:val="24"/>
                <w:lang w:val="uk-UA" w:eastAsia="zh-CN"/>
              </w:rPr>
              <w:t>н</w:t>
            </w:r>
            <w:r w:rsidRPr="00EE5CDF">
              <w:rPr>
                <w:rFonts w:ascii="Times New Roman" w:eastAsia="Times New Roman" w:hAnsi="Times New Roman" w:cs="Times New Roman"/>
                <w:b/>
                <w:bCs/>
                <w:iCs/>
                <w:color w:val="000000"/>
                <w:sz w:val="24"/>
                <w:szCs w:val="24"/>
                <w:lang w:val="uk-UA" w:eastAsia="zh-CN"/>
              </w:rPr>
              <w:t xml:space="preserve">на, перлова, вівсяна, гречана, кукурудзяна, горох) за ДК 021:2015: </w:t>
            </w:r>
            <w:r w:rsidRPr="00EE5CDF">
              <w:rPr>
                <w:rFonts w:ascii="Times New Roman" w:eastAsia="Times New Roman" w:hAnsi="Times New Roman" w:cs="Times New Roman"/>
                <w:b/>
                <w:color w:val="000000"/>
                <w:sz w:val="24"/>
                <w:szCs w:val="24"/>
                <w:lang w:eastAsia="ru-RU"/>
              </w:rPr>
              <w:t xml:space="preserve">15610000-7 - </w:t>
            </w:r>
            <w:proofErr w:type="spellStart"/>
            <w:r w:rsidRPr="00EE5CDF">
              <w:rPr>
                <w:rFonts w:ascii="Times New Roman" w:eastAsia="Times New Roman" w:hAnsi="Times New Roman" w:cs="Times New Roman"/>
                <w:b/>
                <w:color w:val="000000"/>
                <w:sz w:val="24"/>
                <w:szCs w:val="24"/>
                <w:lang w:eastAsia="ru-RU"/>
              </w:rPr>
              <w:t>Продукція</w:t>
            </w:r>
            <w:proofErr w:type="spellEnd"/>
            <w:r w:rsidRPr="00EE5CDF">
              <w:rPr>
                <w:rFonts w:ascii="Times New Roman" w:eastAsia="Times New Roman" w:hAnsi="Times New Roman" w:cs="Times New Roman"/>
                <w:b/>
                <w:color w:val="000000"/>
                <w:sz w:val="24"/>
                <w:szCs w:val="24"/>
                <w:lang w:eastAsia="ru-RU"/>
              </w:rPr>
              <w:t xml:space="preserve"> </w:t>
            </w:r>
            <w:proofErr w:type="spellStart"/>
            <w:r w:rsidRPr="00EE5CDF">
              <w:rPr>
                <w:rFonts w:ascii="Times New Roman" w:eastAsia="Times New Roman" w:hAnsi="Times New Roman" w:cs="Times New Roman"/>
                <w:b/>
                <w:color w:val="000000"/>
                <w:sz w:val="24"/>
                <w:szCs w:val="24"/>
                <w:lang w:eastAsia="ru-RU"/>
              </w:rPr>
              <w:t>борошномельно-круп'яної</w:t>
            </w:r>
            <w:proofErr w:type="spellEnd"/>
            <w:r w:rsidRPr="00EE5CDF">
              <w:rPr>
                <w:rFonts w:ascii="Times New Roman" w:eastAsia="Times New Roman" w:hAnsi="Times New Roman" w:cs="Times New Roman"/>
                <w:b/>
                <w:color w:val="000000"/>
                <w:sz w:val="24"/>
                <w:szCs w:val="24"/>
                <w:lang w:eastAsia="ru-RU"/>
              </w:rPr>
              <w:t xml:space="preserve"> </w:t>
            </w:r>
            <w:proofErr w:type="spellStart"/>
            <w:r w:rsidRPr="00EE5CDF">
              <w:rPr>
                <w:rFonts w:ascii="Times New Roman" w:eastAsia="Times New Roman" w:hAnsi="Times New Roman" w:cs="Times New Roman"/>
                <w:b/>
                <w:color w:val="000000"/>
                <w:sz w:val="24"/>
                <w:szCs w:val="24"/>
                <w:lang w:eastAsia="ru-RU"/>
              </w:rPr>
              <w:t>промисловості</w:t>
            </w:r>
            <w:proofErr w:type="spellEnd"/>
          </w:p>
          <w:p w14:paraId="1C7B28DF" w14:textId="7A05723C" w:rsidR="00EE5CDF" w:rsidRPr="002D08AB" w:rsidRDefault="00EE5CDF" w:rsidP="00EE5CDF">
            <w:pPr>
              <w:keepNext/>
              <w:shd w:val="clear" w:color="auto" w:fill="FDFEFD"/>
              <w:spacing w:after="0" w:line="240" w:lineRule="auto"/>
              <w:jc w:val="both"/>
              <w:textAlignment w:val="baseline"/>
              <w:outlineLvl w:val="1"/>
              <w:rPr>
                <w:rFonts w:eastAsia="Calibri"/>
                <w:lang w:eastAsia="ru-RU"/>
              </w:rPr>
            </w:pP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Городнянський психоневрологічний інтернат (склад харчових продуктів) поставка товару окремими партіями, відповідно до заявки Замовника.</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5F5CD9"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5F5CD9"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5F5CD9"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5F5CD9"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6A2693" w:rsidRPr="005F5CD9"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5F5CD9"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6A2693" w:rsidRDefault="006A2693" w:rsidP="006A269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p>
          <w:p w14:paraId="1C7B2988" w14:textId="59825DAF" w:rsidR="006A2693" w:rsidRPr="00260083" w:rsidRDefault="009D4DE5" w:rsidP="006A269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9B3D1B">
              <w:rPr>
                <w:rFonts w:ascii="Times New Roman" w:eastAsia="Calibri" w:hAnsi="Times New Roman" w:cs="Times New Roman"/>
                <w:b/>
                <w:color w:val="000000"/>
                <w:sz w:val="24"/>
                <w:szCs w:val="24"/>
                <w:lang w:val="uk-UA" w:eastAsia="ru-RU"/>
              </w:rPr>
              <w:t>08 .</w:t>
            </w:r>
            <w:bookmarkStart w:id="0" w:name="_GoBack"/>
            <w:bookmarkEnd w:id="0"/>
            <w:r w:rsidR="006A2693" w:rsidRPr="00260083">
              <w:rPr>
                <w:rFonts w:ascii="Times New Roman" w:eastAsia="Calibri" w:hAnsi="Times New Roman" w:cs="Times New Roman"/>
                <w:b/>
                <w:color w:val="000000"/>
                <w:sz w:val="24"/>
                <w:szCs w:val="24"/>
                <w:lang w:val="uk-UA" w:eastAsia="ru-RU"/>
              </w:rPr>
              <w:t>0</w:t>
            </w:r>
            <w:r w:rsidR="009B3D1B">
              <w:rPr>
                <w:rFonts w:ascii="Times New Roman" w:eastAsia="Calibri" w:hAnsi="Times New Roman" w:cs="Times New Roman"/>
                <w:b/>
                <w:color w:val="000000"/>
                <w:sz w:val="24"/>
                <w:szCs w:val="24"/>
                <w:lang w:val="uk-UA" w:eastAsia="ru-RU"/>
              </w:rPr>
              <w:t>3</w:t>
            </w:r>
            <w:r w:rsidR="006A2693" w:rsidRPr="00260083">
              <w:rPr>
                <w:rFonts w:ascii="Times New Roman" w:eastAsia="Calibri" w:hAnsi="Times New Roman" w:cs="Times New Roman"/>
                <w:b/>
                <w:color w:val="000000"/>
                <w:sz w:val="24"/>
                <w:szCs w:val="24"/>
                <w:lang w:val="uk-UA" w:eastAsia="ru-RU"/>
              </w:rPr>
              <w:t>.202</w:t>
            </w:r>
            <w:r w:rsidR="006A2693">
              <w:rPr>
                <w:rFonts w:ascii="Times New Roman" w:eastAsia="Calibri" w:hAnsi="Times New Roman" w:cs="Times New Roman"/>
                <w:b/>
                <w:color w:val="000000"/>
                <w:sz w:val="24"/>
                <w:szCs w:val="24"/>
                <w:lang w:val="uk-UA" w:eastAsia="ru-RU"/>
              </w:rPr>
              <w:t>4</w:t>
            </w:r>
            <w:r w:rsidR="006A2693" w:rsidRPr="00260083">
              <w:rPr>
                <w:rFonts w:ascii="Times New Roman" w:eastAsia="Calibri" w:hAnsi="Times New Roman" w:cs="Times New Roman"/>
                <w:b/>
                <w:color w:val="000000"/>
                <w:sz w:val="24"/>
                <w:szCs w:val="24"/>
                <w:lang w:val="uk-UA" w:eastAsia="ru-RU"/>
              </w:rPr>
              <w:t xml:space="preserve"> року</w:t>
            </w:r>
            <w:r w:rsidR="006A2693">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5F5CD9"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5F5CD9"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5F5CD9"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1"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2"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3"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4"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5" w:tgtFrame="_blank" w:history="1">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6"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7"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8"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9"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20"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1" w:tgtFrame="_blank" w:history="1">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2"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B7603">
              <w:rPr>
                <w:sz w:val="24"/>
                <w:szCs w:val="24"/>
                <w:lang w:val="uk-UA"/>
              </w:rPr>
              <w:t xml:space="preserve"> </w:t>
            </w:r>
            <w:hyperlink r:id="rId23"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2E02"/>
    <w:rsid w:val="00057B6C"/>
    <w:rsid w:val="00071D16"/>
    <w:rsid w:val="00075805"/>
    <w:rsid w:val="0008463B"/>
    <w:rsid w:val="000A3D7B"/>
    <w:rsid w:val="001326C0"/>
    <w:rsid w:val="00137356"/>
    <w:rsid w:val="00170F0C"/>
    <w:rsid w:val="001A594A"/>
    <w:rsid w:val="001C7056"/>
    <w:rsid w:val="001D7AB8"/>
    <w:rsid w:val="00224CC2"/>
    <w:rsid w:val="0025763E"/>
    <w:rsid w:val="00260083"/>
    <w:rsid w:val="0028064E"/>
    <w:rsid w:val="0028290F"/>
    <w:rsid w:val="00284681"/>
    <w:rsid w:val="0029242B"/>
    <w:rsid w:val="002928D1"/>
    <w:rsid w:val="0029329A"/>
    <w:rsid w:val="002D08AB"/>
    <w:rsid w:val="003079B9"/>
    <w:rsid w:val="003734CF"/>
    <w:rsid w:val="003B3865"/>
    <w:rsid w:val="00411781"/>
    <w:rsid w:val="00436604"/>
    <w:rsid w:val="00443AFE"/>
    <w:rsid w:val="004A6159"/>
    <w:rsid w:val="004B5A8C"/>
    <w:rsid w:val="004C613D"/>
    <w:rsid w:val="004D1486"/>
    <w:rsid w:val="004F2FA7"/>
    <w:rsid w:val="00503275"/>
    <w:rsid w:val="0051484F"/>
    <w:rsid w:val="005440BB"/>
    <w:rsid w:val="005C1654"/>
    <w:rsid w:val="005D369A"/>
    <w:rsid w:val="005E7AB3"/>
    <w:rsid w:val="005F5CD9"/>
    <w:rsid w:val="0063019F"/>
    <w:rsid w:val="00630345"/>
    <w:rsid w:val="00643A6C"/>
    <w:rsid w:val="00645736"/>
    <w:rsid w:val="00665FB7"/>
    <w:rsid w:val="0067450D"/>
    <w:rsid w:val="006A2693"/>
    <w:rsid w:val="006B6CF7"/>
    <w:rsid w:val="006E624D"/>
    <w:rsid w:val="006F4D88"/>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B3D1B"/>
    <w:rsid w:val="009D4DE5"/>
    <w:rsid w:val="009D4E9C"/>
    <w:rsid w:val="00A202B0"/>
    <w:rsid w:val="00A767EE"/>
    <w:rsid w:val="00AB7603"/>
    <w:rsid w:val="00AC13F4"/>
    <w:rsid w:val="00B06910"/>
    <w:rsid w:val="00B33CA9"/>
    <w:rsid w:val="00B414AC"/>
    <w:rsid w:val="00B5452B"/>
    <w:rsid w:val="00B64D35"/>
    <w:rsid w:val="00B65A0D"/>
    <w:rsid w:val="00B6611A"/>
    <w:rsid w:val="00B77239"/>
    <w:rsid w:val="00B93E46"/>
    <w:rsid w:val="00BA6B2F"/>
    <w:rsid w:val="00BC3BF6"/>
    <w:rsid w:val="00BC6183"/>
    <w:rsid w:val="00BD53CF"/>
    <w:rsid w:val="00BE6F9B"/>
    <w:rsid w:val="00C51452"/>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C4D67"/>
    <w:rsid w:val="00ED673A"/>
    <w:rsid w:val="00EE5CDF"/>
    <w:rsid w:val="00EF3EBB"/>
    <w:rsid w:val="00EF5B68"/>
    <w:rsid w:val="00F042A4"/>
    <w:rsid w:val="00F30DD8"/>
    <w:rsid w:val="00F5393E"/>
    <w:rsid w:val="00F775EB"/>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447167021">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805049517">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471?ed=2023_05_12&amp;an=22" TargetMode="External"/><Relationship Id="rId24" Type="http://schemas.openxmlformats.org/officeDocument/2006/relationships/fontTable" Target="fontTable.xml"/><Relationship Id="rId5" Type="http://schemas.openxmlformats.org/officeDocument/2006/relationships/hyperlink" Target="mailto:gpi108@ukr.net"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471?ed=2023_05_12&amp;an=22"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ips.ligazakon.net/document/view/kp221178?ed=2024_01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32</Pages>
  <Words>9642</Words>
  <Characters>54962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2023-01-16T08:22:00Z</cp:lastPrinted>
  <dcterms:created xsi:type="dcterms:W3CDTF">2023-01-13T10:32:00Z</dcterms:created>
  <dcterms:modified xsi:type="dcterms:W3CDTF">2024-02-29T14:17:00Z</dcterms:modified>
</cp:coreProperties>
</file>