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A1" w:rsidRDefault="008E38A1" w:rsidP="008E38A1">
      <w:pPr>
        <w:pStyle w:val="a3"/>
        <w:spacing w:before="0" w:beforeAutospacing="0" w:after="0" w:afterAutospacing="0"/>
        <w:jc w:val="right"/>
        <w:rPr>
          <w:color w:val="000000"/>
        </w:rPr>
      </w:pPr>
    </w:p>
    <w:p w:rsidR="00FE6470" w:rsidRPr="00D830DD" w:rsidRDefault="00FE6470" w:rsidP="00FE6470">
      <w:pPr>
        <w:pStyle w:val="a3"/>
        <w:spacing w:before="0" w:beforeAutospacing="0" w:after="0" w:afterAutospacing="0"/>
        <w:jc w:val="right"/>
        <w:rPr>
          <w:color w:val="000000"/>
        </w:rPr>
      </w:pPr>
      <w:r w:rsidRPr="00D830DD">
        <w:rPr>
          <w:color w:val="000000"/>
        </w:rPr>
        <w:t xml:space="preserve">Додаток 4 </w:t>
      </w:r>
    </w:p>
    <w:p w:rsidR="00FE6470" w:rsidRPr="00D830DD" w:rsidRDefault="00FE6470" w:rsidP="00FE6470">
      <w:pPr>
        <w:pStyle w:val="a3"/>
        <w:spacing w:before="0" w:beforeAutospacing="0" w:after="0" w:afterAutospacing="0"/>
        <w:jc w:val="right"/>
        <w:rPr>
          <w:color w:val="000000"/>
        </w:rPr>
      </w:pPr>
      <w:r w:rsidRPr="00D830DD">
        <w:rPr>
          <w:color w:val="000000"/>
        </w:rPr>
        <w:t>до тендерної документації</w:t>
      </w:r>
    </w:p>
    <w:p w:rsidR="00FE6470" w:rsidRPr="00D830DD" w:rsidRDefault="00FE6470" w:rsidP="00FE6470"/>
    <w:p w:rsidR="00FE6470" w:rsidRPr="00305E72" w:rsidRDefault="00FE6470" w:rsidP="00FE6470">
      <w:pPr>
        <w:pStyle w:val="a3"/>
        <w:spacing w:before="0" w:beforeAutospacing="0" w:after="0" w:afterAutospacing="0"/>
        <w:ind w:left="1020" w:firstLine="160"/>
        <w:jc w:val="center"/>
        <w:rPr>
          <w:b/>
          <w:bCs/>
          <w:color w:val="000000"/>
          <w:sz w:val="28"/>
          <w:szCs w:val="28"/>
        </w:rPr>
      </w:pPr>
      <w:r w:rsidRPr="00305E72">
        <w:rPr>
          <w:b/>
          <w:bCs/>
          <w:color w:val="000000"/>
          <w:sz w:val="28"/>
          <w:szCs w:val="28"/>
        </w:rPr>
        <w:t>Інформація про необхідні технічні, якісні та кількісні характеристики предмета закупівлі</w:t>
      </w:r>
    </w:p>
    <w:p w:rsidR="00FE6470" w:rsidRPr="00305E72" w:rsidRDefault="00FE6470" w:rsidP="00FE6470">
      <w:pPr>
        <w:pStyle w:val="a3"/>
        <w:spacing w:before="0" w:beforeAutospacing="0" w:after="0" w:afterAutospacing="0"/>
        <w:ind w:left="1020" w:firstLine="160"/>
        <w:jc w:val="center"/>
        <w:rPr>
          <w:b/>
          <w:bCs/>
          <w:color w:val="000000"/>
          <w:sz w:val="28"/>
          <w:szCs w:val="28"/>
        </w:rPr>
      </w:pPr>
    </w:p>
    <w:p w:rsidR="00FE6470" w:rsidRPr="00305E72" w:rsidRDefault="00FE6470" w:rsidP="00FE6470">
      <w:pPr>
        <w:pStyle w:val="a3"/>
        <w:spacing w:before="0" w:beforeAutospacing="0" w:after="0" w:afterAutospacing="0"/>
        <w:ind w:left="1020" w:firstLine="160"/>
        <w:jc w:val="center"/>
      </w:pPr>
      <w:r w:rsidRPr="00305E72">
        <w:rPr>
          <w:b/>
          <w:bCs/>
          <w:color w:val="000000"/>
          <w:sz w:val="28"/>
          <w:szCs w:val="28"/>
        </w:rPr>
        <w:t>Технічна специфікація</w:t>
      </w:r>
    </w:p>
    <w:p w:rsidR="00FE6470" w:rsidRPr="00305E72" w:rsidRDefault="00FE6470" w:rsidP="00FE6470"/>
    <w:p w:rsidR="00FE6470" w:rsidRPr="00305E72" w:rsidRDefault="00FE6470" w:rsidP="00FE6470">
      <w:pPr>
        <w:ind w:left="-284" w:firstLine="709"/>
        <w:jc w:val="both"/>
        <w:rPr>
          <w:rFonts w:eastAsia="Calibri"/>
          <w:lang w:eastAsia="en-US"/>
        </w:rPr>
      </w:pPr>
      <w:r w:rsidRPr="00305E72">
        <w:rPr>
          <w:rFonts w:eastAsia="Calibri"/>
          <w:lang w:eastAsia="en-US"/>
        </w:rPr>
        <w:t xml:space="preserve">1. Телекомунікаційні послуги для надання доступу до всесвітньої мережі Інтернет (далі – Послуги) надаються відповідно до Закону України «Про телекомунікації», Правил надання та отримання телекомунікаційних послуг, затверджених постановою Кабінету Міністрів України від 11.04.2012 № 295 та інших нормативно-правових актів України у сфері </w:t>
      </w:r>
      <w:proofErr w:type="spellStart"/>
      <w:r w:rsidRPr="00305E72">
        <w:rPr>
          <w:rFonts w:eastAsia="Calibri"/>
          <w:lang w:eastAsia="en-US"/>
        </w:rPr>
        <w:t>телекомунікацій</w:t>
      </w:r>
      <w:proofErr w:type="spellEnd"/>
      <w:r w:rsidRPr="00305E72">
        <w:rPr>
          <w:rFonts w:eastAsia="Calibri"/>
          <w:lang w:eastAsia="en-US"/>
        </w:rPr>
        <w:t xml:space="preserve"> та забезпечують цілодобове надання у користування та обслуговування каналів передачі даних на всіх вузлах мережі.</w:t>
      </w:r>
    </w:p>
    <w:p w:rsidR="00FE6470" w:rsidRPr="00305E72" w:rsidRDefault="00FE6470" w:rsidP="00FE6470">
      <w:pPr>
        <w:ind w:left="-284" w:firstLine="709"/>
        <w:jc w:val="both"/>
        <w:rPr>
          <w:rFonts w:eastAsia="Calibri"/>
          <w:lang w:eastAsia="en-US"/>
        </w:rPr>
      </w:pPr>
      <w:r w:rsidRPr="00305E72">
        <w:rPr>
          <w:rFonts w:eastAsia="Calibri"/>
          <w:lang w:eastAsia="en-US"/>
        </w:rPr>
        <w:t>2. Технічні характеристики послуг відповідають наступним вимогам:</w:t>
      </w:r>
    </w:p>
    <w:p w:rsidR="00FE6470" w:rsidRPr="00305E72" w:rsidRDefault="00FE6470" w:rsidP="00FE6470">
      <w:pPr>
        <w:ind w:left="-284" w:firstLine="709"/>
        <w:jc w:val="both"/>
        <w:rPr>
          <w:rFonts w:eastAsia="Calibri"/>
          <w:lang w:eastAsia="en-US"/>
        </w:rPr>
      </w:pPr>
      <w:r w:rsidRPr="00305E72">
        <w:rPr>
          <w:rFonts w:eastAsia="Calibri"/>
          <w:lang w:eastAsia="en-US"/>
        </w:rPr>
        <w:t>2.1 Послуга доступу в телекомунікаційну мережу (глобальну мережу Інтернет) (далі – мережа Інтернет) включає в себе:</w:t>
      </w:r>
    </w:p>
    <w:p w:rsidR="00FE6470" w:rsidRPr="00305E72" w:rsidRDefault="00FE6470" w:rsidP="00FE6470">
      <w:pPr>
        <w:numPr>
          <w:ilvl w:val="0"/>
          <w:numId w:val="10"/>
        </w:numPr>
        <w:ind w:left="709" w:hanging="142"/>
        <w:jc w:val="both"/>
        <w:rPr>
          <w:rFonts w:eastAsia="Calibri"/>
          <w:lang w:eastAsia="en-US"/>
        </w:rPr>
      </w:pPr>
      <w:r w:rsidRPr="00305E72">
        <w:rPr>
          <w:rFonts w:eastAsia="Calibri"/>
          <w:lang w:eastAsia="en-US"/>
        </w:rPr>
        <w:t>підключення до мережі Інтернет (у разі відсутності підключення) відповідно до Таблиці 1 та 2  цього Додатку;</w:t>
      </w:r>
    </w:p>
    <w:p w:rsidR="00FE6470" w:rsidRPr="00305E72" w:rsidRDefault="00FE6470" w:rsidP="00FE6470">
      <w:pPr>
        <w:numPr>
          <w:ilvl w:val="0"/>
          <w:numId w:val="10"/>
        </w:numPr>
        <w:ind w:left="709" w:hanging="142"/>
        <w:jc w:val="both"/>
        <w:rPr>
          <w:rFonts w:eastAsia="Calibri"/>
          <w:lang w:eastAsia="en-US"/>
        </w:rPr>
      </w:pPr>
      <w:r w:rsidRPr="00305E72">
        <w:rPr>
          <w:rFonts w:eastAsia="Calibri"/>
          <w:lang w:eastAsia="en-US"/>
        </w:rPr>
        <w:t xml:space="preserve">пропускання </w:t>
      </w:r>
      <w:proofErr w:type="spellStart"/>
      <w:r w:rsidRPr="00305E72">
        <w:rPr>
          <w:rFonts w:eastAsia="Calibri"/>
          <w:lang w:eastAsia="en-US"/>
        </w:rPr>
        <w:t>трафіку</w:t>
      </w:r>
      <w:proofErr w:type="spellEnd"/>
      <w:r w:rsidRPr="00305E72">
        <w:rPr>
          <w:rFonts w:eastAsia="Calibri"/>
          <w:lang w:eastAsia="en-US"/>
        </w:rPr>
        <w:t xml:space="preserve"> для надання доступу до мережі Інтернет каналами (мережами) зв’язку відповідно  до Таблиці 1 та 2 цього Додатку;</w:t>
      </w:r>
    </w:p>
    <w:p w:rsidR="00FE6470" w:rsidRPr="00305E72" w:rsidRDefault="00FE6470" w:rsidP="00FE6470">
      <w:pPr>
        <w:numPr>
          <w:ilvl w:val="0"/>
          <w:numId w:val="10"/>
        </w:numPr>
        <w:ind w:left="709" w:hanging="142"/>
        <w:jc w:val="both"/>
        <w:rPr>
          <w:rFonts w:eastAsia="Calibri"/>
          <w:lang w:eastAsia="en-US"/>
        </w:rPr>
      </w:pPr>
      <w:r w:rsidRPr="00305E72">
        <w:rPr>
          <w:rFonts w:eastAsia="Calibri"/>
          <w:lang w:eastAsia="en-US"/>
        </w:rPr>
        <w:t>забезпечення необхідним обладнанням для доступу до мережі Інтернет (</w:t>
      </w:r>
      <w:proofErr w:type="spellStart"/>
      <w:r w:rsidRPr="00305E72">
        <w:rPr>
          <w:rFonts w:eastAsia="Calibri"/>
          <w:lang w:eastAsia="en-US"/>
        </w:rPr>
        <w:t>медіаконвертер</w:t>
      </w:r>
      <w:proofErr w:type="spellEnd"/>
      <w:r w:rsidRPr="00305E72">
        <w:rPr>
          <w:rFonts w:eastAsia="Calibri"/>
          <w:lang w:eastAsia="en-US"/>
        </w:rPr>
        <w:t>, ONU, маршрутизатор, та ін.) його заміну у разі виходу з ладу;</w:t>
      </w:r>
    </w:p>
    <w:p w:rsidR="00FE6470" w:rsidRPr="00305E72" w:rsidRDefault="00FE6470" w:rsidP="00FE6470">
      <w:pPr>
        <w:numPr>
          <w:ilvl w:val="0"/>
          <w:numId w:val="10"/>
        </w:numPr>
        <w:ind w:left="709" w:hanging="142"/>
        <w:jc w:val="both"/>
        <w:rPr>
          <w:rFonts w:eastAsia="Calibri"/>
          <w:lang w:eastAsia="en-US"/>
        </w:rPr>
      </w:pPr>
      <w:r w:rsidRPr="00305E72">
        <w:rPr>
          <w:rFonts w:eastAsia="Calibri"/>
          <w:lang w:eastAsia="en-U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мережевих ресурсів;</w:t>
      </w:r>
    </w:p>
    <w:p w:rsidR="00FE6470" w:rsidRPr="00305E72" w:rsidRDefault="00FE6470" w:rsidP="00FE6470">
      <w:pPr>
        <w:numPr>
          <w:ilvl w:val="0"/>
          <w:numId w:val="10"/>
        </w:numPr>
        <w:ind w:left="709" w:hanging="142"/>
        <w:jc w:val="both"/>
        <w:rPr>
          <w:rFonts w:eastAsia="Calibri"/>
          <w:lang w:eastAsia="en-US"/>
        </w:rPr>
      </w:pPr>
      <w:r w:rsidRPr="00305E72">
        <w:rPr>
          <w:rFonts w:eastAsia="Calibri"/>
          <w:lang w:eastAsia="en-US"/>
        </w:rPr>
        <w:t xml:space="preserve">доступ до </w:t>
      </w:r>
      <w:proofErr w:type="spellStart"/>
      <w:r w:rsidRPr="00305E72">
        <w:rPr>
          <w:rFonts w:eastAsia="Calibri"/>
          <w:lang w:eastAsia="en-US"/>
        </w:rPr>
        <w:t>інтернет-ресурсів</w:t>
      </w:r>
      <w:proofErr w:type="spellEnd"/>
      <w:r w:rsidRPr="00305E72">
        <w:rPr>
          <w:rFonts w:eastAsia="Calibri"/>
          <w:lang w:eastAsia="en-US"/>
        </w:rPr>
        <w:t xml:space="preserve">, заборонених на державному рівні, обмежується на рівні провайдера. Список заборонених </w:t>
      </w:r>
      <w:proofErr w:type="spellStart"/>
      <w:r w:rsidRPr="00305E72">
        <w:rPr>
          <w:rFonts w:eastAsia="Calibri"/>
          <w:lang w:eastAsia="en-US"/>
        </w:rPr>
        <w:t>інтернет-ресурсів</w:t>
      </w:r>
      <w:proofErr w:type="spellEnd"/>
      <w:r w:rsidRPr="00305E72">
        <w:rPr>
          <w:rFonts w:eastAsia="Calibri"/>
          <w:lang w:eastAsia="en-US"/>
        </w:rPr>
        <w:t xml:space="preserve"> актуалізується провайдером відповідно до чинного законодавства.</w:t>
      </w:r>
    </w:p>
    <w:p w:rsidR="00FE6470" w:rsidRPr="00305E72" w:rsidRDefault="00FE6470" w:rsidP="00FE6470">
      <w:pPr>
        <w:ind w:left="-284" w:firstLine="709"/>
        <w:jc w:val="both"/>
        <w:rPr>
          <w:rFonts w:eastAsia="Calibri"/>
          <w:lang w:eastAsia="en-US"/>
        </w:rPr>
      </w:pPr>
      <w:r w:rsidRPr="00305E72">
        <w:rPr>
          <w:rFonts w:eastAsia="Calibri"/>
          <w:lang w:eastAsia="en-US"/>
        </w:rPr>
        <w:t>2.2 Адреси підключень, технічні характеристики, вимоги до каналів зв’язку до мережі Інтернет вказані в Таблицях 1-2 цього Додатку.</w:t>
      </w:r>
    </w:p>
    <w:p w:rsidR="00FE6470" w:rsidRPr="00305E72" w:rsidRDefault="00FE6470" w:rsidP="00FE6470">
      <w:pPr>
        <w:ind w:left="-284" w:firstLine="709"/>
        <w:jc w:val="both"/>
        <w:rPr>
          <w:rFonts w:eastAsia="Calibri"/>
          <w:b/>
          <w:bCs/>
          <w:lang w:eastAsia="en-US"/>
        </w:rPr>
      </w:pPr>
    </w:p>
    <w:p w:rsidR="00FE6470" w:rsidRPr="00B53021" w:rsidRDefault="00FE6470" w:rsidP="00FE6470">
      <w:pPr>
        <w:ind w:left="-284" w:firstLine="709"/>
        <w:jc w:val="right"/>
        <w:rPr>
          <w:rFonts w:eastAsia="Calibri"/>
          <w:bCs/>
          <w:i/>
          <w:sz w:val="22"/>
          <w:szCs w:val="22"/>
          <w:lang w:eastAsia="en-US"/>
        </w:rPr>
      </w:pPr>
      <w:r w:rsidRPr="00305E72">
        <w:rPr>
          <w:rFonts w:eastAsia="Calibri"/>
          <w:b/>
          <w:bCs/>
          <w:sz w:val="22"/>
          <w:szCs w:val="22"/>
          <w:lang w:eastAsia="en-US"/>
        </w:rPr>
        <w:t xml:space="preserve">                          </w:t>
      </w:r>
      <w:r w:rsidRPr="00305E72">
        <w:rPr>
          <w:rFonts w:eastAsia="Calibri"/>
          <w:bCs/>
          <w:i/>
          <w:sz w:val="22"/>
          <w:szCs w:val="22"/>
          <w:lang w:eastAsia="en-US"/>
        </w:rPr>
        <w:t>Таблиця 1</w:t>
      </w:r>
    </w:p>
    <w:p w:rsidR="00FE6470" w:rsidRPr="00305E72" w:rsidRDefault="00FE6470" w:rsidP="00FE6470">
      <w:pPr>
        <w:ind w:left="-284" w:firstLine="709"/>
        <w:jc w:val="center"/>
        <w:rPr>
          <w:rFonts w:eastAsia="Calibri"/>
          <w:b/>
          <w:bCs/>
          <w:lang w:eastAsia="en-US"/>
        </w:rPr>
      </w:pPr>
      <w:r w:rsidRPr="00305E72">
        <w:rPr>
          <w:rFonts w:eastAsia="Calibri"/>
          <w:b/>
          <w:bCs/>
          <w:lang w:eastAsia="en-US"/>
        </w:rPr>
        <w:t xml:space="preserve">Адреси підключень каналів надання доступу до мережі Інтернет </w:t>
      </w:r>
    </w:p>
    <w:p w:rsidR="00FE6470" w:rsidRPr="00305E72" w:rsidRDefault="00FE6470" w:rsidP="00FE6470">
      <w:pPr>
        <w:ind w:left="-284" w:firstLine="709"/>
        <w:jc w:val="center"/>
        <w:rPr>
          <w:rFonts w:eastAsia="Calibri"/>
          <w:b/>
          <w:bCs/>
          <w:lang w:eastAsia="en-US"/>
        </w:rPr>
      </w:pPr>
      <w:r>
        <w:rPr>
          <w:rFonts w:eastAsia="Calibri"/>
          <w:b/>
          <w:bCs/>
          <w:lang w:eastAsia="en-US"/>
        </w:rPr>
        <w:t>та швидкість доступу</w:t>
      </w:r>
    </w:p>
    <w:p w:rsidR="00FE6470" w:rsidRDefault="00FE6470" w:rsidP="00FE6470">
      <w:pPr>
        <w:ind w:left="-284" w:firstLine="709"/>
        <w:jc w:val="right"/>
        <w:rPr>
          <w:rFonts w:eastAsia="Calibri"/>
          <w:bCs/>
          <w:i/>
          <w:sz w:val="22"/>
          <w:szCs w:val="22"/>
          <w:lang w:eastAsia="en-US"/>
        </w:rPr>
      </w:pPr>
    </w:p>
    <w:tbl>
      <w:tblPr>
        <w:tblW w:w="10232" w:type="dxa"/>
        <w:tblInd w:w="-176" w:type="dxa"/>
        <w:tblLayout w:type="fixed"/>
        <w:tblLook w:val="0000"/>
      </w:tblPr>
      <w:tblGrid>
        <w:gridCol w:w="568"/>
        <w:gridCol w:w="3402"/>
        <w:gridCol w:w="3118"/>
        <w:gridCol w:w="1701"/>
        <w:gridCol w:w="1417"/>
        <w:gridCol w:w="26"/>
      </w:tblGrid>
      <w:tr w:rsidR="00FE6470" w:rsidRPr="00305E72" w:rsidTr="00CA4992">
        <w:trPr>
          <w:gridAfter w:val="1"/>
          <w:wAfter w:w="26" w:type="dxa"/>
          <w:cantSplit/>
          <w:trHeight w:val="1162"/>
        </w:trPr>
        <w:tc>
          <w:tcPr>
            <w:tcW w:w="568" w:type="dxa"/>
            <w:tcBorders>
              <w:top w:val="single" w:sz="4" w:space="0" w:color="000000"/>
              <w:left w:val="single" w:sz="4" w:space="0" w:color="000000"/>
              <w:bottom w:val="single" w:sz="4" w:space="0" w:color="000000"/>
            </w:tcBorders>
          </w:tcPr>
          <w:p w:rsidR="00FE6470" w:rsidRPr="00305E72" w:rsidRDefault="00FE6470" w:rsidP="00CA4992">
            <w:pPr>
              <w:jc w:val="center"/>
              <w:rPr>
                <w:b/>
              </w:rPr>
            </w:pPr>
          </w:p>
          <w:p w:rsidR="00FE6470" w:rsidRPr="00305E72" w:rsidRDefault="00FE6470" w:rsidP="00CA4992">
            <w:pPr>
              <w:jc w:val="center"/>
              <w:rPr>
                <w:b/>
              </w:rPr>
            </w:pPr>
            <w:r w:rsidRPr="00305E72">
              <w:rPr>
                <w:b/>
              </w:rPr>
              <w:t>№ п/п</w:t>
            </w:r>
          </w:p>
        </w:tc>
        <w:tc>
          <w:tcPr>
            <w:tcW w:w="3402" w:type="dxa"/>
            <w:tcBorders>
              <w:top w:val="single" w:sz="4" w:space="0" w:color="000000"/>
              <w:left w:val="single" w:sz="4" w:space="0" w:color="000000"/>
              <w:bottom w:val="single" w:sz="4" w:space="0" w:color="000000"/>
            </w:tcBorders>
            <w:shd w:val="clear" w:color="auto" w:fill="auto"/>
            <w:vAlign w:val="center"/>
          </w:tcPr>
          <w:p w:rsidR="00FE6470" w:rsidRPr="00305E72" w:rsidRDefault="00FE6470" w:rsidP="00CA4992">
            <w:pPr>
              <w:jc w:val="center"/>
              <w:rPr>
                <w:rFonts w:cs="Calibri"/>
              </w:rPr>
            </w:pPr>
            <w:r w:rsidRPr="00305E72">
              <w:rPr>
                <w:b/>
              </w:rPr>
              <w:t xml:space="preserve">Назва </w:t>
            </w:r>
          </w:p>
        </w:tc>
        <w:tc>
          <w:tcPr>
            <w:tcW w:w="3118" w:type="dxa"/>
            <w:tcBorders>
              <w:top w:val="single" w:sz="4" w:space="0" w:color="000000"/>
              <w:left w:val="single" w:sz="4" w:space="0" w:color="000000"/>
              <w:bottom w:val="single" w:sz="4" w:space="0" w:color="000000"/>
            </w:tcBorders>
            <w:shd w:val="clear" w:color="auto" w:fill="auto"/>
            <w:vAlign w:val="center"/>
          </w:tcPr>
          <w:p w:rsidR="00FE6470" w:rsidRPr="00305E72" w:rsidRDefault="00FE6470" w:rsidP="00CA4992">
            <w:pPr>
              <w:jc w:val="center"/>
              <w:rPr>
                <w:rFonts w:cs="Calibri"/>
              </w:rPr>
            </w:pPr>
            <w:r w:rsidRPr="00305E72">
              <w:rPr>
                <w:b/>
                <w:sz w:val="20"/>
                <w:szCs w:val="20"/>
              </w:rPr>
              <w:t>Адреси підключень каналів зв’язку до мережі Інтернет</w:t>
            </w:r>
          </w:p>
        </w:tc>
        <w:tc>
          <w:tcPr>
            <w:tcW w:w="1701" w:type="dxa"/>
            <w:tcBorders>
              <w:top w:val="single" w:sz="4" w:space="0" w:color="000000"/>
              <w:left w:val="single" w:sz="4" w:space="0" w:color="000000"/>
              <w:bottom w:val="single" w:sz="4" w:space="0" w:color="000000"/>
            </w:tcBorders>
            <w:shd w:val="clear" w:color="auto" w:fill="auto"/>
          </w:tcPr>
          <w:p w:rsidR="00FE6470" w:rsidRPr="00305E72" w:rsidRDefault="00FE6470" w:rsidP="00CA4992">
            <w:pPr>
              <w:jc w:val="center"/>
              <w:rPr>
                <w:rFonts w:cs="Calibri"/>
              </w:rPr>
            </w:pPr>
            <w:r w:rsidRPr="00305E72">
              <w:rPr>
                <w:b/>
                <w:bCs/>
                <w:color w:val="000000"/>
                <w:sz w:val="20"/>
                <w:szCs w:val="20"/>
              </w:rPr>
              <w:t xml:space="preserve">Гарантована швидкість доступу до мережі Інтернет *, </w:t>
            </w:r>
            <w:proofErr w:type="spellStart"/>
            <w:r w:rsidRPr="00305E72">
              <w:rPr>
                <w:b/>
                <w:bCs/>
                <w:color w:val="000000"/>
                <w:sz w:val="20"/>
                <w:szCs w:val="20"/>
              </w:rPr>
              <w:t>мбіт</w:t>
            </w:r>
            <w:proofErr w:type="spellEnd"/>
            <w:r w:rsidRPr="00305E72">
              <w:rPr>
                <w:b/>
                <w:bCs/>
                <w:color w:val="000000"/>
                <w:sz w:val="20"/>
                <w:szCs w:val="20"/>
              </w:rPr>
              <w:t>/с</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470" w:rsidRPr="00305E72" w:rsidRDefault="00FE6470" w:rsidP="00CA4992">
            <w:pPr>
              <w:spacing w:after="160" w:line="252" w:lineRule="auto"/>
              <w:jc w:val="center"/>
              <w:rPr>
                <w:rFonts w:cs="Calibri"/>
              </w:rPr>
            </w:pPr>
            <w:r w:rsidRPr="00305E72">
              <w:rPr>
                <w:b/>
                <w:sz w:val="20"/>
                <w:szCs w:val="20"/>
              </w:rPr>
              <w:t xml:space="preserve">Тип </w:t>
            </w:r>
          </w:p>
          <w:p w:rsidR="00FE6470" w:rsidRPr="00305E72" w:rsidRDefault="00FE6470" w:rsidP="00CA4992">
            <w:pPr>
              <w:jc w:val="center"/>
              <w:rPr>
                <w:rFonts w:cs="Calibri"/>
              </w:rPr>
            </w:pPr>
            <w:r w:rsidRPr="00305E72">
              <w:rPr>
                <w:b/>
                <w:sz w:val="20"/>
                <w:szCs w:val="20"/>
              </w:rPr>
              <w:t>IP-адреси</w:t>
            </w:r>
          </w:p>
        </w:tc>
      </w:tr>
      <w:tr w:rsidR="00FE6470" w:rsidRPr="00305E72" w:rsidTr="00CA4992">
        <w:trPr>
          <w:gridAfter w:val="1"/>
          <w:wAfter w:w="26" w:type="dxa"/>
          <w:cantSplit/>
          <w:trHeight w:val="249"/>
        </w:trPr>
        <w:tc>
          <w:tcPr>
            <w:tcW w:w="568" w:type="dxa"/>
            <w:tcBorders>
              <w:top w:val="single" w:sz="4" w:space="0" w:color="000000"/>
              <w:left w:val="single" w:sz="4" w:space="0" w:color="000000"/>
              <w:bottom w:val="single" w:sz="4" w:space="0" w:color="000000"/>
            </w:tcBorders>
          </w:tcPr>
          <w:p w:rsidR="00FE6470" w:rsidRPr="00305E72" w:rsidRDefault="00FE6470" w:rsidP="00CA4992">
            <w:pPr>
              <w:jc w:val="center"/>
              <w:rPr>
                <w:b/>
              </w:rPr>
            </w:pPr>
            <w:r w:rsidRPr="00305E72">
              <w:rPr>
                <w:b/>
              </w:rPr>
              <w:t>1</w:t>
            </w:r>
          </w:p>
        </w:tc>
        <w:tc>
          <w:tcPr>
            <w:tcW w:w="3402" w:type="dxa"/>
            <w:tcBorders>
              <w:top w:val="single" w:sz="4" w:space="0" w:color="000000"/>
              <w:left w:val="single" w:sz="4" w:space="0" w:color="000000"/>
              <w:bottom w:val="single" w:sz="4" w:space="0" w:color="000000"/>
            </w:tcBorders>
            <w:shd w:val="clear" w:color="auto" w:fill="auto"/>
            <w:vAlign w:val="center"/>
          </w:tcPr>
          <w:p w:rsidR="00FE6470" w:rsidRPr="00305E72" w:rsidRDefault="00FE6470" w:rsidP="00CA4992">
            <w:pPr>
              <w:jc w:val="center"/>
              <w:rPr>
                <w:b/>
              </w:rPr>
            </w:pPr>
            <w:r w:rsidRPr="00305E72">
              <w:rPr>
                <w:b/>
              </w:rPr>
              <w:t>2</w:t>
            </w:r>
          </w:p>
        </w:tc>
        <w:tc>
          <w:tcPr>
            <w:tcW w:w="3118" w:type="dxa"/>
            <w:tcBorders>
              <w:top w:val="single" w:sz="4" w:space="0" w:color="000000"/>
              <w:left w:val="single" w:sz="4" w:space="0" w:color="000000"/>
              <w:bottom w:val="single" w:sz="4" w:space="0" w:color="000000"/>
            </w:tcBorders>
            <w:shd w:val="clear" w:color="auto" w:fill="auto"/>
            <w:vAlign w:val="center"/>
          </w:tcPr>
          <w:p w:rsidR="00FE6470" w:rsidRPr="00305E72" w:rsidRDefault="00FE6470" w:rsidP="00CA4992">
            <w:pPr>
              <w:jc w:val="center"/>
              <w:rPr>
                <w:b/>
                <w:sz w:val="20"/>
                <w:szCs w:val="20"/>
              </w:rPr>
            </w:pPr>
            <w:r w:rsidRPr="00305E72">
              <w:rPr>
                <w:b/>
                <w:sz w:val="20"/>
                <w:szCs w:val="20"/>
              </w:rPr>
              <w:t>3</w:t>
            </w:r>
          </w:p>
        </w:tc>
        <w:tc>
          <w:tcPr>
            <w:tcW w:w="1701" w:type="dxa"/>
            <w:tcBorders>
              <w:top w:val="single" w:sz="4" w:space="0" w:color="000000"/>
              <w:left w:val="single" w:sz="4" w:space="0" w:color="000000"/>
              <w:bottom w:val="single" w:sz="4" w:space="0" w:color="000000"/>
            </w:tcBorders>
            <w:shd w:val="clear" w:color="auto" w:fill="auto"/>
          </w:tcPr>
          <w:p w:rsidR="00FE6470" w:rsidRPr="00305E72" w:rsidRDefault="00FE6470" w:rsidP="00CA4992">
            <w:pPr>
              <w:jc w:val="center"/>
              <w:rPr>
                <w:b/>
                <w:bCs/>
                <w:color w:val="000000"/>
                <w:sz w:val="20"/>
                <w:szCs w:val="20"/>
              </w:rPr>
            </w:pPr>
            <w:r w:rsidRPr="00305E72">
              <w:rPr>
                <w:b/>
                <w:bCs/>
                <w:color w:val="000000"/>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470" w:rsidRPr="00305E72" w:rsidRDefault="00FE6470" w:rsidP="00CA4992">
            <w:pPr>
              <w:spacing w:after="160" w:line="252" w:lineRule="auto"/>
              <w:jc w:val="center"/>
              <w:rPr>
                <w:b/>
                <w:sz w:val="20"/>
                <w:szCs w:val="20"/>
              </w:rPr>
            </w:pPr>
            <w:r w:rsidRPr="00305E72">
              <w:rPr>
                <w:b/>
                <w:sz w:val="20"/>
                <w:szCs w:val="20"/>
              </w:rPr>
              <w:t>5</w:t>
            </w:r>
          </w:p>
        </w:tc>
      </w:tr>
      <w:tr w:rsidR="00FE6470" w:rsidRPr="00305E72" w:rsidTr="00CA4992">
        <w:trPr>
          <w:trHeight w:val="363"/>
        </w:trPr>
        <w:tc>
          <w:tcPr>
            <w:tcW w:w="10232" w:type="dxa"/>
            <w:gridSpan w:val="6"/>
            <w:tcBorders>
              <w:top w:val="single" w:sz="4" w:space="0" w:color="000000"/>
              <w:left w:val="single" w:sz="4" w:space="0" w:color="000000"/>
              <w:bottom w:val="single" w:sz="4" w:space="0" w:color="auto"/>
              <w:right w:val="single" w:sz="4" w:space="0" w:color="000000"/>
            </w:tcBorders>
          </w:tcPr>
          <w:p w:rsidR="00FE6470" w:rsidRPr="00AD77C2" w:rsidRDefault="00FE6470" w:rsidP="005F5F79">
            <w:pPr>
              <w:jc w:val="center"/>
              <w:rPr>
                <w:rFonts w:eastAsia="Calibri"/>
                <w:bCs/>
                <w:i/>
                <w:lang w:eastAsia="en-US"/>
              </w:rPr>
            </w:pPr>
            <w:r w:rsidRPr="00F509D8">
              <w:rPr>
                <w:b/>
              </w:rPr>
              <w:t xml:space="preserve">Послуги доступу до мережі Інтернет </w:t>
            </w:r>
            <w:r>
              <w:rPr>
                <w:b/>
              </w:rPr>
              <w:t>установ</w:t>
            </w:r>
            <w:r w:rsidRPr="00F509D8">
              <w:rPr>
                <w:b/>
              </w:rPr>
              <w:t xml:space="preserve"> </w:t>
            </w:r>
            <w:r>
              <w:rPr>
                <w:b/>
              </w:rPr>
              <w:t xml:space="preserve">Виконавчого комітету </w:t>
            </w:r>
            <w:proofErr w:type="spellStart"/>
            <w:r>
              <w:rPr>
                <w:b/>
              </w:rPr>
              <w:t>Маньківської</w:t>
            </w:r>
            <w:proofErr w:type="spellEnd"/>
            <w:r>
              <w:rPr>
                <w:b/>
              </w:rPr>
              <w:t xml:space="preserve"> селищної ради </w:t>
            </w:r>
            <w:r w:rsidRPr="00F509D8">
              <w:rPr>
                <w:b/>
              </w:rPr>
              <w:t xml:space="preserve">розміщених </w:t>
            </w:r>
            <w:r>
              <w:rPr>
                <w:b/>
              </w:rPr>
              <w:t xml:space="preserve">на території  </w:t>
            </w:r>
            <w:proofErr w:type="spellStart"/>
            <w:r>
              <w:rPr>
                <w:b/>
              </w:rPr>
              <w:t>Маньківської</w:t>
            </w:r>
            <w:proofErr w:type="spellEnd"/>
            <w:r>
              <w:rPr>
                <w:b/>
              </w:rPr>
              <w:t xml:space="preserve"> селищної територіальної громади </w:t>
            </w:r>
          </w:p>
        </w:tc>
      </w:tr>
      <w:tr w:rsidR="00FE6470"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FE6470" w:rsidRPr="005F5F79" w:rsidRDefault="00FE6470" w:rsidP="00CA4992">
            <w:pPr>
              <w:rPr>
                <w:lang w:eastAsia="ru-RU"/>
              </w:rPr>
            </w:pPr>
            <w:r w:rsidRPr="005F5F79">
              <w:rPr>
                <w:lang w:eastAsia="ru-RU"/>
              </w:rPr>
              <w:t>1</w:t>
            </w:r>
          </w:p>
        </w:tc>
        <w:tc>
          <w:tcPr>
            <w:tcW w:w="3402" w:type="dxa"/>
            <w:tcBorders>
              <w:top w:val="single" w:sz="4" w:space="0" w:color="000000"/>
              <w:left w:val="single" w:sz="4" w:space="0" w:color="000000"/>
              <w:bottom w:val="single" w:sz="4" w:space="0" w:color="000000"/>
            </w:tcBorders>
            <w:shd w:val="clear" w:color="auto" w:fill="auto"/>
          </w:tcPr>
          <w:p w:rsidR="00FE6470" w:rsidRPr="005F5F79" w:rsidRDefault="00FE6470"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FE6470" w:rsidRPr="005F5F79" w:rsidRDefault="00FE6470" w:rsidP="00CA4992">
            <w:r w:rsidRPr="005F5F79">
              <w:t>Черкаська область, Уманський р-н,</w:t>
            </w:r>
          </w:p>
          <w:p w:rsidR="005F5F79" w:rsidRDefault="005F5F79" w:rsidP="00CA4992">
            <w:proofErr w:type="spellStart"/>
            <w:r>
              <w:t>с</w:t>
            </w:r>
            <w:r w:rsidRPr="005F5F79">
              <w:t>.Паланочка</w:t>
            </w:r>
            <w:proofErr w:type="spellEnd"/>
            <w:r w:rsidRPr="005F5F79">
              <w:t xml:space="preserve">, </w:t>
            </w:r>
          </w:p>
          <w:p w:rsidR="00FE6470" w:rsidRPr="005F5F79" w:rsidRDefault="005F5F79" w:rsidP="00CA4992">
            <w:r w:rsidRPr="005F5F79">
              <w:lastRenderedPageBreak/>
              <w:t>вул.</w:t>
            </w:r>
            <w:r>
              <w:t xml:space="preserve"> </w:t>
            </w:r>
            <w:r w:rsidRPr="005F5F79">
              <w:t>Шевченка, буд.75</w:t>
            </w:r>
          </w:p>
          <w:p w:rsidR="00FE6470" w:rsidRPr="005F5F79" w:rsidRDefault="00FE6470" w:rsidP="00CA4992"/>
        </w:tc>
        <w:tc>
          <w:tcPr>
            <w:tcW w:w="1701" w:type="dxa"/>
            <w:tcBorders>
              <w:top w:val="single" w:sz="4" w:space="0" w:color="000000"/>
              <w:left w:val="single" w:sz="4" w:space="0" w:color="000000"/>
              <w:bottom w:val="single" w:sz="4" w:space="0" w:color="000000"/>
            </w:tcBorders>
            <w:shd w:val="clear" w:color="auto" w:fill="auto"/>
          </w:tcPr>
          <w:p w:rsidR="00FE6470" w:rsidRPr="005F5F79" w:rsidRDefault="00FE6470" w:rsidP="00A73733">
            <w:pPr>
              <w:snapToGrid w:val="0"/>
              <w:jc w:val="center"/>
            </w:pPr>
            <w:r w:rsidRPr="005F5F79">
              <w:lastRenderedPageBreak/>
              <w:t>Не менше 2</w:t>
            </w:r>
            <w:r w:rsidR="00A73733">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6470" w:rsidRPr="005F5F79" w:rsidRDefault="00FE6470" w:rsidP="00CA4992">
            <w:r w:rsidRPr="005F5F79">
              <w:t>Динамічна</w:t>
            </w:r>
          </w:p>
        </w:tc>
      </w:tr>
      <w:tr w:rsidR="00FE6470"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FE6470" w:rsidRPr="005F5F79" w:rsidRDefault="00FE6470" w:rsidP="00CA4992">
            <w:pPr>
              <w:rPr>
                <w:lang w:eastAsia="ru-RU"/>
              </w:rPr>
            </w:pPr>
            <w:r w:rsidRPr="005F5F79">
              <w:rPr>
                <w:lang w:eastAsia="ru-RU"/>
              </w:rPr>
              <w:lastRenderedPageBreak/>
              <w:t>2</w:t>
            </w:r>
          </w:p>
        </w:tc>
        <w:tc>
          <w:tcPr>
            <w:tcW w:w="3402" w:type="dxa"/>
            <w:tcBorders>
              <w:top w:val="single" w:sz="4" w:space="0" w:color="000000"/>
              <w:left w:val="single" w:sz="4" w:space="0" w:color="000000"/>
              <w:bottom w:val="single" w:sz="4" w:space="0" w:color="000000"/>
            </w:tcBorders>
            <w:shd w:val="clear" w:color="auto" w:fill="auto"/>
          </w:tcPr>
          <w:p w:rsidR="00FE6470" w:rsidRPr="005F5F79" w:rsidRDefault="00FE6470"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5F5F79" w:rsidRPr="005F5F79" w:rsidRDefault="005F5F79" w:rsidP="005F5F79">
            <w:r w:rsidRPr="005F5F79">
              <w:t>Черкаська область, Уманський р-н,</w:t>
            </w:r>
          </w:p>
          <w:p w:rsidR="005F5F79" w:rsidRDefault="005F5F79" w:rsidP="005F5F79">
            <w:proofErr w:type="spellStart"/>
            <w:r>
              <w:t>с</w:t>
            </w:r>
            <w:r w:rsidRPr="005F5F79">
              <w:t>.</w:t>
            </w:r>
            <w:r>
              <w:t>Попівка</w:t>
            </w:r>
            <w:proofErr w:type="spellEnd"/>
            <w:r w:rsidRPr="005F5F79">
              <w:t xml:space="preserve">, </w:t>
            </w:r>
          </w:p>
          <w:p w:rsidR="005F5F79" w:rsidRPr="005F5F79" w:rsidRDefault="005F5F79" w:rsidP="005F5F79">
            <w:r w:rsidRPr="005F5F79">
              <w:t>вул.</w:t>
            </w:r>
            <w:r>
              <w:t xml:space="preserve"> </w:t>
            </w:r>
            <w:r w:rsidRPr="005F5F79">
              <w:t>Шевченка, буд.</w:t>
            </w:r>
            <w:r>
              <w:t>2</w:t>
            </w:r>
          </w:p>
          <w:p w:rsidR="00FE6470" w:rsidRPr="005F5F79" w:rsidRDefault="00FE6470" w:rsidP="00CA4992"/>
        </w:tc>
        <w:tc>
          <w:tcPr>
            <w:tcW w:w="1701" w:type="dxa"/>
            <w:tcBorders>
              <w:top w:val="single" w:sz="4" w:space="0" w:color="000000"/>
              <w:left w:val="single" w:sz="4" w:space="0" w:color="000000"/>
              <w:bottom w:val="single" w:sz="4" w:space="0" w:color="000000"/>
            </w:tcBorders>
            <w:shd w:val="clear" w:color="auto" w:fill="auto"/>
          </w:tcPr>
          <w:p w:rsidR="00FE6470" w:rsidRPr="005F5F79" w:rsidRDefault="00FE6470" w:rsidP="00A73733">
            <w:pPr>
              <w:snapToGrid w:val="0"/>
              <w:jc w:val="center"/>
            </w:pPr>
            <w:r w:rsidRPr="005F5F79">
              <w:t xml:space="preserve">Не менше </w:t>
            </w:r>
            <w:r w:rsidR="005F5F79">
              <w:t>2</w:t>
            </w:r>
            <w:r w:rsidR="00A73733">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6470" w:rsidRPr="005F5F79" w:rsidRDefault="00FE6470" w:rsidP="00CA4992">
            <w:r w:rsidRPr="005F5F79">
              <w:t>Динамічна</w:t>
            </w:r>
          </w:p>
        </w:tc>
      </w:tr>
      <w:tr w:rsidR="00FE6470"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FE6470" w:rsidRPr="005F5F79" w:rsidRDefault="005F5F79" w:rsidP="00CA4992">
            <w:pPr>
              <w:rPr>
                <w:lang w:eastAsia="ru-RU"/>
              </w:rPr>
            </w:pPr>
            <w:r>
              <w:rPr>
                <w:lang w:eastAsia="ru-RU"/>
              </w:rPr>
              <w:t>3</w:t>
            </w:r>
          </w:p>
        </w:tc>
        <w:tc>
          <w:tcPr>
            <w:tcW w:w="3402" w:type="dxa"/>
            <w:tcBorders>
              <w:top w:val="single" w:sz="4" w:space="0" w:color="000000"/>
              <w:left w:val="single" w:sz="4" w:space="0" w:color="000000"/>
              <w:bottom w:val="single" w:sz="4" w:space="0" w:color="000000"/>
            </w:tcBorders>
            <w:shd w:val="clear" w:color="auto" w:fill="auto"/>
          </w:tcPr>
          <w:p w:rsidR="00FE6470" w:rsidRPr="005F5F79" w:rsidRDefault="00FE6470"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FE6470" w:rsidRDefault="005F5F79" w:rsidP="00CA4992">
            <w:r w:rsidRPr="005F5F79">
              <w:t>Черкаська область, Уманський р-н</w:t>
            </w:r>
            <w:r>
              <w:t>,</w:t>
            </w:r>
          </w:p>
          <w:p w:rsidR="005F5F79" w:rsidRPr="005F5F79" w:rsidRDefault="005F5F79" w:rsidP="005F5F79">
            <w:r>
              <w:t xml:space="preserve">с. </w:t>
            </w:r>
            <w:proofErr w:type="spellStart"/>
            <w:r>
              <w:t>Нестерівка</w:t>
            </w:r>
            <w:proofErr w:type="spellEnd"/>
            <w:r>
              <w:t>, вул.. Центральна, буд.4</w:t>
            </w:r>
          </w:p>
        </w:tc>
        <w:tc>
          <w:tcPr>
            <w:tcW w:w="1701" w:type="dxa"/>
            <w:tcBorders>
              <w:top w:val="single" w:sz="4" w:space="0" w:color="000000"/>
              <w:left w:val="single" w:sz="4" w:space="0" w:color="000000"/>
              <w:bottom w:val="single" w:sz="4" w:space="0" w:color="000000"/>
            </w:tcBorders>
            <w:shd w:val="clear" w:color="auto" w:fill="auto"/>
          </w:tcPr>
          <w:p w:rsidR="00FE6470" w:rsidRPr="005F5F79" w:rsidRDefault="00FE6470" w:rsidP="00A73733">
            <w:pPr>
              <w:snapToGrid w:val="0"/>
              <w:jc w:val="center"/>
            </w:pPr>
            <w:r w:rsidRPr="005F5F79">
              <w:t xml:space="preserve">Не менше </w:t>
            </w:r>
            <w:r w:rsidR="005F5F79">
              <w:t>2</w:t>
            </w:r>
            <w:r w:rsidR="00A73733">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E6470" w:rsidRPr="005F5F79" w:rsidRDefault="00FE6470" w:rsidP="00CA4992">
            <w:r w:rsidRPr="005F5F79">
              <w:t>Динамічна</w:t>
            </w:r>
          </w:p>
        </w:tc>
      </w:tr>
      <w:tr w:rsidR="005F5F79"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5F5F79" w:rsidRPr="005F5F79" w:rsidRDefault="005F5F79" w:rsidP="00CA4992">
            <w:pPr>
              <w:rPr>
                <w:lang w:eastAsia="ru-RU"/>
              </w:rPr>
            </w:pPr>
            <w:r>
              <w:rPr>
                <w:lang w:eastAsia="ru-RU"/>
              </w:rPr>
              <w:t>4</w:t>
            </w:r>
          </w:p>
        </w:tc>
        <w:tc>
          <w:tcPr>
            <w:tcW w:w="3402" w:type="dxa"/>
            <w:tcBorders>
              <w:top w:val="single" w:sz="4" w:space="0" w:color="000000"/>
              <w:left w:val="single" w:sz="4" w:space="0" w:color="000000"/>
              <w:bottom w:val="single" w:sz="4" w:space="0" w:color="000000"/>
            </w:tcBorders>
            <w:shd w:val="clear" w:color="auto" w:fill="auto"/>
          </w:tcPr>
          <w:p w:rsidR="005F5F79" w:rsidRPr="005F5F79" w:rsidRDefault="005F5F79"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5F5F79" w:rsidRDefault="005F5F79" w:rsidP="005F5F79">
            <w:r w:rsidRPr="005F5F79">
              <w:t>Черкаська область, Уманський р-н</w:t>
            </w:r>
            <w:r>
              <w:t>,</w:t>
            </w:r>
          </w:p>
          <w:p w:rsidR="005F5F79" w:rsidRDefault="005F5F79" w:rsidP="005F5F79">
            <w:r>
              <w:t>с. Харківка, вул..Дружби, буд. 59</w:t>
            </w:r>
          </w:p>
          <w:p w:rsidR="005F5F79" w:rsidRPr="005F5F79" w:rsidRDefault="005F5F79" w:rsidP="00CA4992"/>
        </w:tc>
        <w:tc>
          <w:tcPr>
            <w:tcW w:w="1701" w:type="dxa"/>
            <w:tcBorders>
              <w:top w:val="single" w:sz="4" w:space="0" w:color="000000"/>
              <w:left w:val="single" w:sz="4" w:space="0" w:color="000000"/>
              <w:bottom w:val="single" w:sz="4" w:space="0" w:color="000000"/>
            </w:tcBorders>
            <w:shd w:val="clear" w:color="auto" w:fill="auto"/>
          </w:tcPr>
          <w:p w:rsidR="005F5F79" w:rsidRPr="005F5F79" w:rsidRDefault="005F5F79" w:rsidP="00A73733">
            <w:pPr>
              <w:snapToGrid w:val="0"/>
              <w:jc w:val="center"/>
            </w:pPr>
            <w:r w:rsidRPr="005F5F79">
              <w:t xml:space="preserve">Не менше </w:t>
            </w:r>
            <w:r>
              <w:t>2</w:t>
            </w:r>
            <w:r w:rsidR="00A73733">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5F79" w:rsidRPr="005F5F79" w:rsidRDefault="005F5F79" w:rsidP="0075411E">
            <w:r w:rsidRPr="005F5F79">
              <w:t>Динамічна</w:t>
            </w:r>
          </w:p>
        </w:tc>
      </w:tr>
      <w:tr w:rsidR="005F5F79"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5F5F79" w:rsidRPr="005F5F79" w:rsidRDefault="005F5F79" w:rsidP="00CA4992">
            <w:pPr>
              <w:rPr>
                <w:lang w:eastAsia="ru-RU"/>
              </w:rPr>
            </w:pPr>
            <w:r>
              <w:rPr>
                <w:lang w:eastAsia="ru-RU"/>
              </w:rPr>
              <w:t>5</w:t>
            </w:r>
          </w:p>
        </w:tc>
        <w:tc>
          <w:tcPr>
            <w:tcW w:w="3402" w:type="dxa"/>
            <w:tcBorders>
              <w:top w:val="single" w:sz="4" w:space="0" w:color="000000"/>
              <w:left w:val="single" w:sz="4" w:space="0" w:color="000000"/>
              <w:bottom w:val="single" w:sz="4" w:space="0" w:color="000000"/>
            </w:tcBorders>
            <w:shd w:val="clear" w:color="auto" w:fill="auto"/>
          </w:tcPr>
          <w:p w:rsidR="005F5F79" w:rsidRPr="005F5F79" w:rsidRDefault="005F5F79"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5F5F79" w:rsidRDefault="005F5F79" w:rsidP="005F5F79">
            <w:r w:rsidRPr="005F5F79">
              <w:t>Черкаська область, Уманський р-н</w:t>
            </w:r>
            <w:r>
              <w:t>,</w:t>
            </w:r>
          </w:p>
          <w:p w:rsidR="005F5F79" w:rsidRPr="005F5F79" w:rsidRDefault="005F5F79" w:rsidP="005F5F79">
            <w:r>
              <w:t xml:space="preserve">с. </w:t>
            </w:r>
            <w:proofErr w:type="spellStart"/>
            <w:r>
              <w:t>Кищенці</w:t>
            </w:r>
            <w:proofErr w:type="spellEnd"/>
            <w:r>
              <w:t xml:space="preserve">, вул.. Генерала А. </w:t>
            </w:r>
            <w:proofErr w:type="spellStart"/>
            <w:r>
              <w:t>Дрофи</w:t>
            </w:r>
            <w:proofErr w:type="spellEnd"/>
            <w:r>
              <w:t>, буд.39</w:t>
            </w:r>
          </w:p>
        </w:tc>
        <w:tc>
          <w:tcPr>
            <w:tcW w:w="1701" w:type="dxa"/>
            <w:tcBorders>
              <w:top w:val="single" w:sz="4" w:space="0" w:color="000000"/>
              <w:left w:val="single" w:sz="4" w:space="0" w:color="000000"/>
              <w:bottom w:val="single" w:sz="4" w:space="0" w:color="000000"/>
            </w:tcBorders>
            <w:shd w:val="clear" w:color="auto" w:fill="auto"/>
          </w:tcPr>
          <w:p w:rsidR="005F5F79" w:rsidRPr="005F5F79" w:rsidRDefault="005F5F79" w:rsidP="00A73733">
            <w:pPr>
              <w:snapToGrid w:val="0"/>
              <w:jc w:val="center"/>
            </w:pPr>
            <w:r w:rsidRPr="005F5F79">
              <w:t xml:space="preserve">Не менше </w:t>
            </w:r>
            <w:r>
              <w:t>2</w:t>
            </w:r>
            <w:r w:rsidR="00A73733">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5F79" w:rsidRPr="005F5F79" w:rsidRDefault="005F5F79" w:rsidP="0075411E">
            <w:r w:rsidRPr="005F5F79">
              <w:t>Динамічна</w:t>
            </w:r>
          </w:p>
        </w:tc>
      </w:tr>
      <w:tr w:rsidR="005F5F79"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5F5F79" w:rsidRPr="005F5F79" w:rsidRDefault="005F5F79" w:rsidP="00CA4992">
            <w:pPr>
              <w:rPr>
                <w:lang w:eastAsia="ru-RU"/>
              </w:rPr>
            </w:pPr>
            <w:r>
              <w:rPr>
                <w:lang w:eastAsia="ru-RU"/>
              </w:rPr>
              <w:t>6</w:t>
            </w:r>
          </w:p>
        </w:tc>
        <w:tc>
          <w:tcPr>
            <w:tcW w:w="3402" w:type="dxa"/>
            <w:tcBorders>
              <w:top w:val="single" w:sz="4" w:space="0" w:color="000000"/>
              <w:left w:val="single" w:sz="4" w:space="0" w:color="000000"/>
              <w:bottom w:val="single" w:sz="4" w:space="0" w:color="000000"/>
            </w:tcBorders>
            <w:shd w:val="clear" w:color="auto" w:fill="auto"/>
          </w:tcPr>
          <w:p w:rsidR="005F5F79" w:rsidRPr="005F5F79" w:rsidRDefault="005F5F79"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5F5F79" w:rsidRDefault="005F5F79" w:rsidP="005F5F79">
            <w:r w:rsidRPr="005F5F79">
              <w:t>Черкаська область, Уманський р-н</w:t>
            </w:r>
            <w:r>
              <w:t>,</w:t>
            </w:r>
          </w:p>
          <w:p w:rsidR="005F5F79" w:rsidRPr="005F5F79" w:rsidRDefault="005F5F79" w:rsidP="005F5F79">
            <w:r>
              <w:t>с. Подібна, вул.. Шкільна, буд.7</w:t>
            </w:r>
          </w:p>
        </w:tc>
        <w:tc>
          <w:tcPr>
            <w:tcW w:w="1701" w:type="dxa"/>
            <w:tcBorders>
              <w:top w:val="single" w:sz="4" w:space="0" w:color="000000"/>
              <w:left w:val="single" w:sz="4" w:space="0" w:color="000000"/>
              <w:bottom w:val="single" w:sz="4" w:space="0" w:color="000000"/>
            </w:tcBorders>
            <w:shd w:val="clear" w:color="auto" w:fill="auto"/>
          </w:tcPr>
          <w:p w:rsidR="005F5F79" w:rsidRPr="005F5F79" w:rsidRDefault="005F5F79" w:rsidP="00A73733">
            <w:pPr>
              <w:snapToGrid w:val="0"/>
              <w:jc w:val="center"/>
            </w:pPr>
            <w:r w:rsidRPr="005F5F79">
              <w:t xml:space="preserve">Не менше </w:t>
            </w:r>
            <w:r>
              <w:t>2</w:t>
            </w:r>
            <w:r w:rsidR="00A73733">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5F79" w:rsidRPr="005F5F79" w:rsidRDefault="005F5F79" w:rsidP="0075411E">
            <w:r w:rsidRPr="005F5F79">
              <w:t>Динамічна</w:t>
            </w:r>
          </w:p>
        </w:tc>
      </w:tr>
      <w:tr w:rsidR="005F5F79"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5F5F79" w:rsidRPr="005F5F79" w:rsidRDefault="005F5F79" w:rsidP="00CA4992">
            <w:pPr>
              <w:rPr>
                <w:lang w:eastAsia="ru-RU"/>
              </w:rPr>
            </w:pPr>
            <w:r>
              <w:rPr>
                <w:lang w:eastAsia="ru-RU"/>
              </w:rPr>
              <w:t>7</w:t>
            </w:r>
          </w:p>
        </w:tc>
        <w:tc>
          <w:tcPr>
            <w:tcW w:w="3402" w:type="dxa"/>
            <w:tcBorders>
              <w:top w:val="single" w:sz="4" w:space="0" w:color="000000"/>
              <w:left w:val="single" w:sz="4" w:space="0" w:color="000000"/>
              <w:bottom w:val="single" w:sz="4" w:space="0" w:color="000000"/>
            </w:tcBorders>
            <w:shd w:val="clear" w:color="auto" w:fill="auto"/>
          </w:tcPr>
          <w:p w:rsidR="005F5F79" w:rsidRPr="005F5F79" w:rsidRDefault="005F5F79"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5F5F79" w:rsidRDefault="005F5F79" w:rsidP="005F5F79">
            <w:r w:rsidRPr="005F5F79">
              <w:t>Черкаська область, Уманський р-н</w:t>
            </w:r>
            <w:r>
              <w:t>,</w:t>
            </w:r>
          </w:p>
          <w:p w:rsidR="005F5F79" w:rsidRPr="005F5F79" w:rsidRDefault="005F5F79" w:rsidP="00CA4992">
            <w:r>
              <w:t xml:space="preserve">с. Добра, </w:t>
            </w:r>
            <w:r w:rsidR="00AD1C4A">
              <w:t>вул.. Центральна, буд.31</w:t>
            </w:r>
          </w:p>
        </w:tc>
        <w:tc>
          <w:tcPr>
            <w:tcW w:w="1701" w:type="dxa"/>
            <w:tcBorders>
              <w:top w:val="single" w:sz="4" w:space="0" w:color="000000"/>
              <w:left w:val="single" w:sz="4" w:space="0" w:color="000000"/>
              <w:bottom w:val="single" w:sz="4" w:space="0" w:color="000000"/>
            </w:tcBorders>
            <w:shd w:val="clear" w:color="auto" w:fill="auto"/>
          </w:tcPr>
          <w:p w:rsidR="005F5F79" w:rsidRPr="005F5F79" w:rsidRDefault="005F5F79" w:rsidP="00A73733">
            <w:pPr>
              <w:snapToGrid w:val="0"/>
              <w:jc w:val="center"/>
            </w:pPr>
            <w:r w:rsidRPr="005F5F79">
              <w:t xml:space="preserve">Не менше </w:t>
            </w:r>
            <w:r>
              <w:t>2</w:t>
            </w:r>
            <w:r w:rsidR="00A73733">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5F79" w:rsidRPr="005F5F79" w:rsidRDefault="005F5F79" w:rsidP="0075411E">
            <w:r w:rsidRPr="005F5F79">
              <w:t>Динамічна</w:t>
            </w:r>
          </w:p>
        </w:tc>
      </w:tr>
      <w:tr w:rsidR="005F5F79"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5F5F79" w:rsidRPr="005F5F79" w:rsidRDefault="005F5F79" w:rsidP="00CA4992">
            <w:pPr>
              <w:rPr>
                <w:lang w:eastAsia="ru-RU"/>
              </w:rPr>
            </w:pPr>
            <w:r>
              <w:rPr>
                <w:lang w:eastAsia="ru-RU"/>
              </w:rPr>
              <w:t>8</w:t>
            </w:r>
          </w:p>
        </w:tc>
        <w:tc>
          <w:tcPr>
            <w:tcW w:w="3402" w:type="dxa"/>
            <w:tcBorders>
              <w:top w:val="single" w:sz="4" w:space="0" w:color="000000"/>
              <w:left w:val="single" w:sz="4" w:space="0" w:color="000000"/>
              <w:bottom w:val="single" w:sz="4" w:space="0" w:color="000000"/>
            </w:tcBorders>
            <w:shd w:val="clear" w:color="auto" w:fill="auto"/>
          </w:tcPr>
          <w:p w:rsidR="005F5F79" w:rsidRPr="005F5F79" w:rsidRDefault="005F5F79"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5F5F79" w:rsidRDefault="005F5F79" w:rsidP="005F5F79">
            <w:r w:rsidRPr="005F5F79">
              <w:t>Черкаська область, Уманський р-н</w:t>
            </w:r>
            <w:r>
              <w:t>,</w:t>
            </w:r>
          </w:p>
          <w:p w:rsidR="005F5F79" w:rsidRPr="005F5F79" w:rsidRDefault="00AD1C4A" w:rsidP="00CA4992">
            <w:r>
              <w:t xml:space="preserve">с. </w:t>
            </w:r>
            <w:proofErr w:type="spellStart"/>
            <w:r>
              <w:t>Дзензелівка</w:t>
            </w:r>
            <w:proofErr w:type="spellEnd"/>
            <w:r>
              <w:t>, вул.. Центральна, буд.3</w:t>
            </w:r>
          </w:p>
        </w:tc>
        <w:tc>
          <w:tcPr>
            <w:tcW w:w="1701" w:type="dxa"/>
            <w:tcBorders>
              <w:top w:val="single" w:sz="4" w:space="0" w:color="000000"/>
              <w:left w:val="single" w:sz="4" w:space="0" w:color="000000"/>
              <w:bottom w:val="single" w:sz="4" w:space="0" w:color="000000"/>
            </w:tcBorders>
            <w:shd w:val="clear" w:color="auto" w:fill="auto"/>
          </w:tcPr>
          <w:p w:rsidR="005F5F79" w:rsidRPr="005F5F79" w:rsidRDefault="005F5F79" w:rsidP="00A73733">
            <w:pPr>
              <w:snapToGrid w:val="0"/>
              <w:jc w:val="center"/>
            </w:pPr>
            <w:r w:rsidRPr="005F5F79">
              <w:t xml:space="preserve">Не менше </w:t>
            </w:r>
            <w:r>
              <w:t>2</w:t>
            </w:r>
            <w:r w:rsidR="00A73733">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5F79" w:rsidRPr="005F5F79" w:rsidRDefault="005F5F79" w:rsidP="0075411E">
            <w:r w:rsidRPr="005F5F79">
              <w:t>Динамічна</w:t>
            </w:r>
          </w:p>
        </w:tc>
      </w:tr>
      <w:tr w:rsidR="005F5F79"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5F5F79" w:rsidRPr="005F5F79" w:rsidRDefault="005F5F79" w:rsidP="00CA4992">
            <w:pPr>
              <w:rPr>
                <w:lang w:eastAsia="ru-RU"/>
              </w:rPr>
            </w:pPr>
            <w:r>
              <w:rPr>
                <w:lang w:eastAsia="ru-RU"/>
              </w:rPr>
              <w:t>9</w:t>
            </w:r>
          </w:p>
        </w:tc>
        <w:tc>
          <w:tcPr>
            <w:tcW w:w="3402" w:type="dxa"/>
            <w:tcBorders>
              <w:top w:val="single" w:sz="4" w:space="0" w:color="000000"/>
              <w:left w:val="single" w:sz="4" w:space="0" w:color="000000"/>
              <w:bottom w:val="single" w:sz="4" w:space="0" w:color="000000"/>
            </w:tcBorders>
            <w:shd w:val="clear" w:color="auto" w:fill="auto"/>
          </w:tcPr>
          <w:p w:rsidR="005F5F79" w:rsidRPr="005F5F79" w:rsidRDefault="005F5F79"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5F5F79" w:rsidRDefault="005F5F79" w:rsidP="005F5F79">
            <w:r w:rsidRPr="005F5F79">
              <w:t>Черкаська область, Уманський р-н</w:t>
            </w:r>
            <w:r>
              <w:t>,</w:t>
            </w:r>
          </w:p>
          <w:p w:rsidR="005F5F79" w:rsidRPr="005F5F79" w:rsidRDefault="00AD1C4A" w:rsidP="00CA4992">
            <w:r>
              <w:t xml:space="preserve">с. </w:t>
            </w:r>
            <w:proofErr w:type="spellStart"/>
            <w:r>
              <w:t>Поминик</w:t>
            </w:r>
            <w:proofErr w:type="spellEnd"/>
            <w:r>
              <w:t>, вул.. Молодіжна, буд.1</w:t>
            </w:r>
          </w:p>
        </w:tc>
        <w:tc>
          <w:tcPr>
            <w:tcW w:w="1701" w:type="dxa"/>
            <w:tcBorders>
              <w:top w:val="single" w:sz="4" w:space="0" w:color="000000"/>
              <w:left w:val="single" w:sz="4" w:space="0" w:color="000000"/>
              <w:bottom w:val="single" w:sz="4" w:space="0" w:color="000000"/>
            </w:tcBorders>
            <w:shd w:val="clear" w:color="auto" w:fill="auto"/>
          </w:tcPr>
          <w:p w:rsidR="005F5F79" w:rsidRPr="005F5F79" w:rsidRDefault="005F5F79" w:rsidP="00AD1C4A">
            <w:pPr>
              <w:snapToGrid w:val="0"/>
              <w:jc w:val="center"/>
            </w:pPr>
            <w:r w:rsidRPr="005F5F79">
              <w:t xml:space="preserve">Не менше </w:t>
            </w:r>
            <w:r w:rsidR="00A73733">
              <w:t>2</w:t>
            </w:r>
            <w:r w:rsidR="00AD1C4A">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F5F79" w:rsidRPr="005F5F79" w:rsidRDefault="005F5F79" w:rsidP="0075411E">
            <w:r w:rsidRPr="005F5F79">
              <w:t>Динамічна</w:t>
            </w:r>
          </w:p>
        </w:tc>
      </w:tr>
      <w:tr w:rsidR="00AD1C4A"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AD1C4A" w:rsidRDefault="00AD1C4A" w:rsidP="00CA4992">
            <w:pPr>
              <w:rPr>
                <w:lang w:eastAsia="ru-RU"/>
              </w:rPr>
            </w:pPr>
            <w:r>
              <w:rPr>
                <w:lang w:eastAsia="ru-RU"/>
              </w:rPr>
              <w:t>10</w:t>
            </w:r>
          </w:p>
        </w:tc>
        <w:tc>
          <w:tcPr>
            <w:tcW w:w="3402" w:type="dxa"/>
            <w:tcBorders>
              <w:top w:val="single" w:sz="4" w:space="0" w:color="000000"/>
              <w:left w:val="single" w:sz="4" w:space="0" w:color="000000"/>
              <w:bottom w:val="single" w:sz="4" w:space="0" w:color="000000"/>
            </w:tcBorders>
            <w:shd w:val="clear" w:color="auto" w:fill="auto"/>
          </w:tcPr>
          <w:p w:rsidR="00AD1C4A" w:rsidRPr="005F5F79" w:rsidRDefault="00AD1C4A"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AD1C4A" w:rsidRDefault="00AD1C4A" w:rsidP="00AD1C4A">
            <w:r w:rsidRPr="005F5F79">
              <w:t>Черкаська область, Уманський р-н</w:t>
            </w:r>
            <w:r>
              <w:t>,</w:t>
            </w:r>
          </w:p>
          <w:p w:rsidR="00AD1C4A" w:rsidRPr="005F5F79" w:rsidRDefault="00AD1C4A" w:rsidP="005F5F79">
            <w:r>
              <w:t>с. Роги, вул.. Молодіжна, буд.44</w:t>
            </w:r>
          </w:p>
        </w:tc>
        <w:tc>
          <w:tcPr>
            <w:tcW w:w="1701" w:type="dxa"/>
            <w:tcBorders>
              <w:top w:val="single" w:sz="4" w:space="0" w:color="000000"/>
              <w:left w:val="single" w:sz="4" w:space="0" w:color="000000"/>
              <w:bottom w:val="single" w:sz="4" w:space="0" w:color="000000"/>
            </w:tcBorders>
            <w:shd w:val="clear" w:color="auto" w:fill="auto"/>
          </w:tcPr>
          <w:p w:rsidR="00AD1C4A" w:rsidRPr="005F5F79" w:rsidRDefault="00AD1C4A" w:rsidP="00AD1C4A">
            <w:pPr>
              <w:snapToGrid w:val="0"/>
              <w:jc w:val="center"/>
            </w:pPr>
            <w:r w:rsidRPr="005F5F79">
              <w:t xml:space="preserve">Не менше </w:t>
            </w:r>
            <w:r w:rsidR="00A73733">
              <w:t>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1C4A" w:rsidRPr="005F5F79" w:rsidRDefault="00AD1C4A" w:rsidP="0075411E">
            <w:r w:rsidRPr="005F5F79">
              <w:t>Динамічна</w:t>
            </w:r>
          </w:p>
        </w:tc>
      </w:tr>
      <w:tr w:rsidR="00AD1C4A"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AD1C4A" w:rsidRDefault="00AD1C4A" w:rsidP="00CA4992">
            <w:pPr>
              <w:rPr>
                <w:lang w:eastAsia="ru-RU"/>
              </w:rPr>
            </w:pPr>
            <w:r>
              <w:rPr>
                <w:lang w:eastAsia="ru-RU"/>
              </w:rPr>
              <w:t>11</w:t>
            </w:r>
          </w:p>
        </w:tc>
        <w:tc>
          <w:tcPr>
            <w:tcW w:w="3402" w:type="dxa"/>
            <w:tcBorders>
              <w:top w:val="single" w:sz="4" w:space="0" w:color="000000"/>
              <w:left w:val="single" w:sz="4" w:space="0" w:color="000000"/>
              <w:bottom w:val="single" w:sz="4" w:space="0" w:color="000000"/>
            </w:tcBorders>
            <w:shd w:val="clear" w:color="auto" w:fill="auto"/>
          </w:tcPr>
          <w:p w:rsidR="00AD1C4A" w:rsidRPr="005F5F79" w:rsidRDefault="00AD1C4A"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AD1C4A" w:rsidRDefault="00AD1C4A" w:rsidP="00AD1C4A">
            <w:r w:rsidRPr="005F5F79">
              <w:t>Черкаська область, Уманський р-н</w:t>
            </w:r>
            <w:r>
              <w:t>,</w:t>
            </w:r>
          </w:p>
          <w:p w:rsidR="00AD1C4A" w:rsidRPr="005F5F79" w:rsidRDefault="00AD1C4A" w:rsidP="00AD1C4A">
            <w:proofErr w:type="spellStart"/>
            <w:r>
              <w:t>с.Поташ</w:t>
            </w:r>
            <w:proofErr w:type="spellEnd"/>
            <w:r>
              <w:t>, вул.. Миру. буд.41</w:t>
            </w:r>
          </w:p>
        </w:tc>
        <w:tc>
          <w:tcPr>
            <w:tcW w:w="1701" w:type="dxa"/>
            <w:tcBorders>
              <w:top w:val="single" w:sz="4" w:space="0" w:color="000000"/>
              <w:left w:val="single" w:sz="4" w:space="0" w:color="000000"/>
              <w:bottom w:val="single" w:sz="4" w:space="0" w:color="000000"/>
            </w:tcBorders>
            <w:shd w:val="clear" w:color="auto" w:fill="auto"/>
          </w:tcPr>
          <w:p w:rsidR="00AD1C4A" w:rsidRPr="005F5F79" w:rsidRDefault="00AD1C4A" w:rsidP="00AD1C4A">
            <w:pPr>
              <w:snapToGrid w:val="0"/>
              <w:jc w:val="center"/>
            </w:pPr>
            <w:r w:rsidRPr="005F5F79">
              <w:t xml:space="preserve">Не менше </w:t>
            </w:r>
            <w:r w:rsidR="00A73733">
              <w:t>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1C4A" w:rsidRPr="005F5F79" w:rsidRDefault="00AD1C4A" w:rsidP="0075411E">
            <w:r w:rsidRPr="005F5F79">
              <w:t>Динамічна</w:t>
            </w:r>
          </w:p>
        </w:tc>
      </w:tr>
      <w:tr w:rsidR="00AD1C4A"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AD1C4A" w:rsidRDefault="00AD1C4A" w:rsidP="00CA4992">
            <w:pPr>
              <w:rPr>
                <w:lang w:eastAsia="ru-RU"/>
              </w:rPr>
            </w:pPr>
            <w:r>
              <w:rPr>
                <w:lang w:eastAsia="ru-RU"/>
              </w:rPr>
              <w:t>12</w:t>
            </w:r>
          </w:p>
        </w:tc>
        <w:tc>
          <w:tcPr>
            <w:tcW w:w="3402" w:type="dxa"/>
            <w:tcBorders>
              <w:top w:val="single" w:sz="4" w:space="0" w:color="000000"/>
              <w:left w:val="single" w:sz="4" w:space="0" w:color="000000"/>
              <w:bottom w:val="single" w:sz="4" w:space="0" w:color="000000"/>
            </w:tcBorders>
            <w:shd w:val="clear" w:color="auto" w:fill="auto"/>
          </w:tcPr>
          <w:p w:rsidR="00AD1C4A" w:rsidRPr="005F5F79" w:rsidRDefault="00AD1C4A" w:rsidP="00CA4992">
            <w:pPr>
              <w:rPr>
                <w:lang w:eastAsia="ru-RU"/>
              </w:rPr>
            </w:pPr>
            <w:r w:rsidRPr="005F5F79">
              <w:rPr>
                <w:lang w:eastAsia="ru-RU"/>
              </w:rPr>
              <w:t xml:space="preserve">Виконавчий комітет </w:t>
            </w:r>
            <w:proofErr w:type="spellStart"/>
            <w:r w:rsidRPr="005F5F79">
              <w:rPr>
                <w:lang w:eastAsia="ru-RU"/>
              </w:rPr>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AD1C4A" w:rsidRDefault="00AD1C4A" w:rsidP="00AD1C4A">
            <w:r w:rsidRPr="005F5F79">
              <w:t>Черкаська область, Уманський р-н</w:t>
            </w:r>
            <w:r>
              <w:t>,</w:t>
            </w:r>
          </w:p>
          <w:p w:rsidR="00AD1C4A" w:rsidRDefault="00AD1C4A" w:rsidP="00AD1C4A">
            <w:proofErr w:type="spellStart"/>
            <w:r>
              <w:t>с.Кривець</w:t>
            </w:r>
            <w:proofErr w:type="spellEnd"/>
            <w:r>
              <w:t>,</w:t>
            </w:r>
          </w:p>
          <w:p w:rsidR="00AD1C4A" w:rsidRPr="005F5F79" w:rsidRDefault="00AD1C4A" w:rsidP="00AD1C4A">
            <w:r>
              <w:t xml:space="preserve"> вул.. Центральна, буд.12</w:t>
            </w:r>
          </w:p>
        </w:tc>
        <w:tc>
          <w:tcPr>
            <w:tcW w:w="1701" w:type="dxa"/>
            <w:tcBorders>
              <w:top w:val="single" w:sz="4" w:space="0" w:color="000000"/>
              <w:left w:val="single" w:sz="4" w:space="0" w:color="000000"/>
              <w:bottom w:val="single" w:sz="4" w:space="0" w:color="000000"/>
            </w:tcBorders>
            <w:shd w:val="clear" w:color="auto" w:fill="auto"/>
          </w:tcPr>
          <w:p w:rsidR="00AD1C4A" w:rsidRPr="005F5F79" w:rsidRDefault="00AD1C4A" w:rsidP="00AD1C4A">
            <w:pPr>
              <w:snapToGrid w:val="0"/>
              <w:jc w:val="center"/>
            </w:pPr>
            <w:r w:rsidRPr="005F5F79">
              <w:t xml:space="preserve">Не менше </w:t>
            </w:r>
            <w:r w:rsidR="00A73733">
              <w:t>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1C4A" w:rsidRPr="005F5F79" w:rsidRDefault="00AD1C4A" w:rsidP="0075411E">
            <w:r w:rsidRPr="005F5F79">
              <w:t>Динамічна</w:t>
            </w:r>
          </w:p>
        </w:tc>
      </w:tr>
      <w:tr w:rsidR="00AD1C4A" w:rsidRPr="005F5F79" w:rsidTr="00CA4992">
        <w:trPr>
          <w:gridAfter w:val="1"/>
          <w:wAfter w:w="26" w:type="dxa"/>
          <w:trHeight w:val="410"/>
        </w:trPr>
        <w:tc>
          <w:tcPr>
            <w:tcW w:w="568" w:type="dxa"/>
            <w:tcBorders>
              <w:top w:val="single" w:sz="4" w:space="0" w:color="000000"/>
              <w:left w:val="single" w:sz="4" w:space="0" w:color="000000"/>
              <w:bottom w:val="single" w:sz="4" w:space="0" w:color="000000"/>
            </w:tcBorders>
          </w:tcPr>
          <w:p w:rsidR="00AD1C4A" w:rsidRDefault="00AD1C4A" w:rsidP="00CA4992">
            <w:pPr>
              <w:rPr>
                <w:lang w:eastAsia="ru-RU"/>
              </w:rPr>
            </w:pPr>
            <w:r>
              <w:rPr>
                <w:lang w:eastAsia="ru-RU"/>
              </w:rPr>
              <w:t>13</w:t>
            </w:r>
          </w:p>
        </w:tc>
        <w:tc>
          <w:tcPr>
            <w:tcW w:w="3402" w:type="dxa"/>
            <w:tcBorders>
              <w:top w:val="single" w:sz="4" w:space="0" w:color="000000"/>
              <w:left w:val="single" w:sz="4" w:space="0" w:color="000000"/>
              <w:bottom w:val="single" w:sz="4" w:space="0" w:color="000000"/>
            </w:tcBorders>
            <w:shd w:val="clear" w:color="auto" w:fill="auto"/>
          </w:tcPr>
          <w:p w:rsidR="00AD1C4A" w:rsidRPr="005F5F79" w:rsidRDefault="00AD1C4A" w:rsidP="00CA4992">
            <w:pPr>
              <w:rPr>
                <w:lang w:eastAsia="ru-RU"/>
              </w:rPr>
            </w:pPr>
            <w:r w:rsidRPr="005F5F79">
              <w:rPr>
                <w:lang w:eastAsia="ru-RU"/>
              </w:rPr>
              <w:t xml:space="preserve">Виконавчий комітет </w:t>
            </w:r>
            <w:proofErr w:type="spellStart"/>
            <w:r w:rsidRPr="005F5F79">
              <w:rPr>
                <w:lang w:eastAsia="ru-RU"/>
              </w:rPr>
              <w:lastRenderedPageBreak/>
              <w:t>Маньківської</w:t>
            </w:r>
            <w:proofErr w:type="spellEnd"/>
            <w:r w:rsidRPr="005F5F79">
              <w:rPr>
                <w:lang w:eastAsia="ru-RU"/>
              </w:rPr>
              <w:t xml:space="preserve"> селищної ради</w:t>
            </w:r>
          </w:p>
        </w:tc>
        <w:tc>
          <w:tcPr>
            <w:tcW w:w="3118" w:type="dxa"/>
            <w:tcBorders>
              <w:top w:val="single" w:sz="4" w:space="0" w:color="000000"/>
              <w:left w:val="single" w:sz="4" w:space="0" w:color="000000"/>
              <w:bottom w:val="single" w:sz="4" w:space="0" w:color="000000"/>
            </w:tcBorders>
            <w:shd w:val="clear" w:color="auto" w:fill="auto"/>
          </w:tcPr>
          <w:p w:rsidR="00AD1C4A" w:rsidRDefault="00AD1C4A" w:rsidP="00AD1C4A">
            <w:r w:rsidRPr="005F5F79">
              <w:lastRenderedPageBreak/>
              <w:t xml:space="preserve">Черкаська область, </w:t>
            </w:r>
            <w:r w:rsidRPr="005F5F79">
              <w:lastRenderedPageBreak/>
              <w:t>Уманський р-н</w:t>
            </w:r>
            <w:r>
              <w:t>,</w:t>
            </w:r>
          </w:p>
          <w:p w:rsidR="00AD1C4A" w:rsidRPr="005F5F79" w:rsidRDefault="00AD1C4A" w:rsidP="00AD1C4A">
            <w:proofErr w:type="spellStart"/>
            <w:r>
              <w:t>с.Молодецьке</w:t>
            </w:r>
            <w:proofErr w:type="spellEnd"/>
            <w:r>
              <w:t>, вул..</w:t>
            </w:r>
            <w:proofErr w:type="spellStart"/>
            <w:r>
              <w:t>Цетральна</w:t>
            </w:r>
            <w:proofErr w:type="spellEnd"/>
            <w:r>
              <w:t>, буд.1</w:t>
            </w:r>
          </w:p>
        </w:tc>
        <w:tc>
          <w:tcPr>
            <w:tcW w:w="1701" w:type="dxa"/>
            <w:tcBorders>
              <w:top w:val="single" w:sz="4" w:space="0" w:color="000000"/>
              <w:left w:val="single" w:sz="4" w:space="0" w:color="000000"/>
              <w:bottom w:val="single" w:sz="4" w:space="0" w:color="000000"/>
            </w:tcBorders>
            <w:shd w:val="clear" w:color="auto" w:fill="auto"/>
          </w:tcPr>
          <w:p w:rsidR="00AD1C4A" w:rsidRPr="005F5F79" w:rsidRDefault="00AD1C4A" w:rsidP="00AD1C4A">
            <w:pPr>
              <w:snapToGrid w:val="0"/>
              <w:jc w:val="center"/>
            </w:pPr>
            <w:r w:rsidRPr="005F5F79">
              <w:lastRenderedPageBreak/>
              <w:t xml:space="preserve">Не менше </w:t>
            </w:r>
            <w:r w:rsidR="00A73733">
              <w:t>2</w:t>
            </w:r>
            <w: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D1C4A" w:rsidRPr="005F5F79" w:rsidRDefault="00AD1C4A" w:rsidP="0075411E">
            <w:r w:rsidRPr="005F5F79">
              <w:t>Динамічна</w:t>
            </w:r>
          </w:p>
        </w:tc>
      </w:tr>
    </w:tbl>
    <w:p w:rsidR="00FE6470" w:rsidRPr="00305E72" w:rsidRDefault="00FE6470" w:rsidP="00FE6470">
      <w:pPr>
        <w:spacing w:before="240"/>
        <w:ind w:right="479"/>
        <w:jc w:val="both"/>
        <w:outlineLvl w:val="0"/>
        <w:rPr>
          <w:lang w:eastAsia="en-US"/>
        </w:rPr>
      </w:pPr>
      <w:r w:rsidRPr="005F5F79">
        <w:rPr>
          <w:b/>
          <w:bCs/>
          <w:lang w:eastAsia="en-US"/>
        </w:rPr>
        <w:lastRenderedPageBreak/>
        <w:t xml:space="preserve">*  - </w:t>
      </w:r>
      <w:r w:rsidRPr="005F5F79">
        <w:rPr>
          <w:lang w:eastAsia="en-US"/>
        </w:rPr>
        <w:t>Під швидкістю доступу до Інтернету розуміється швидкість підключення до</w:t>
      </w:r>
      <w:r w:rsidRPr="00305E72">
        <w:rPr>
          <w:lang w:eastAsia="en-US"/>
        </w:rPr>
        <w:t xml:space="preserve"> мережі Інтернет на обладнанні, призначеному для з’єднання з пунктом закінчення телекомунікаційної мережі (кінцевим обладнанням Замовника). </w:t>
      </w:r>
    </w:p>
    <w:p w:rsidR="00FE6470" w:rsidRPr="00305E72" w:rsidRDefault="00FE6470" w:rsidP="00FE6470">
      <w:pPr>
        <w:spacing w:before="120" w:after="120"/>
        <w:jc w:val="right"/>
        <w:outlineLvl w:val="0"/>
        <w:rPr>
          <w:bCs/>
          <w:i/>
          <w:lang w:eastAsia="en-US"/>
        </w:rPr>
      </w:pPr>
      <w:r>
        <w:rPr>
          <w:bCs/>
          <w:i/>
          <w:lang w:eastAsia="en-US"/>
        </w:rPr>
        <w:t xml:space="preserve">    </w:t>
      </w:r>
      <w:r w:rsidRPr="00305E72">
        <w:rPr>
          <w:bCs/>
          <w:i/>
          <w:lang w:eastAsia="en-US"/>
        </w:rPr>
        <w:t>Таблиця 2</w:t>
      </w:r>
    </w:p>
    <w:p w:rsidR="00FE6470" w:rsidRPr="00305E72" w:rsidRDefault="00FE6470" w:rsidP="00FE6470">
      <w:pPr>
        <w:ind w:right="476"/>
        <w:jc w:val="center"/>
        <w:outlineLvl w:val="0"/>
        <w:rPr>
          <w:b/>
          <w:bCs/>
          <w:lang w:eastAsia="en-US"/>
        </w:rPr>
      </w:pPr>
      <w:r w:rsidRPr="00305E72">
        <w:rPr>
          <w:b/>
          <w:bCs/>
          <w:lang w:eastAsia="en-US"/>
        </w:rPr>
        <w:t xml:space="preserve">Технічні характеристики та вимоги до цифрових каналів </w:t>
      </w:r>
    </w:p>
    <w:p w:rsidR="00FE6470" w:rsidRPr="00305E72" w:rsidRDefault="00FE6470" w:rsidP="00FE6470">
      <w:pPr>
        <w:ind w:right="476"/>
        <w:jc w:val="center"/>
        <w:outlineLvl w:val="0"/>
        <w:rPr>
          <w:b/>
          <w:bCs/>
          <w:lang w:eastAsia="en-US"/>
        </w:rPr>
      </w:pPr>
      <w:r w:rsidRPr="00305E72">
        <w:rPr>
          <w:b/>
          <w:lang w:eastAsia="en-US"/>
        </w:rPr>
        <w:t xml:space="preserve">надання доступу до мережі Інтернет </w:t>
      </w: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455"/>
      </w:tblGrid>
      <w:tr w:rsidR="00FE6470" w:rsidRPr="00305E72" w:rsidTr="00CA4992">
        <w:trPr>
          <w:jc w:val="center"/>
        </w:trPr>
        <w:tc>
          <w:tcPr>
            <w:tcW w:w="4395" w:type="dxa"/>
            <w:vAlign w:val="center"/>
          </w:tcPr>
          <w:p w:rsidR="00FE6470" w:rsidRPr="00305E72" w:rsidRDefault="00FE6470" w:rsidP="00CA4992">
            <w:pPr>
              <w:tabs>
                <w:tab w:val="left" w:pos="7020"/>
              </w:tabs>
              <w:ind w:left="-426" w:firstLine="434"/>
              <w:jc w:val="center"/>
              <w:rPr>
                <w:rFonts w:eastAsia="Arial"/>
                <w:lang w:eastAsia="ru-RU"/>
              </w:rPr>
            </w:pPr>
            <w:r w:rsidRPr="00305E72">
              <w:rPr>
                <w:rFonts w:eastAsia="Arial"/>
                <w:lang w:eastAsia="ru-RU"/>
              </w:rPr>
              <w:t>Назва характеристики</w:t>
            </w:r>
          </w:p>
        </w:tc>
        <w:tc>
          <w:tcPr>
            <w:tcW w:w="5455" w:type="dxa"/>
            <w:vAlign w:val="center"/>
          </w:tcPr>
          <w:p w:rsidR="00FE6470" w:rsidRPr="00305E72" w:rsidRDefault="00FE6470" w:rsidP="00CA4992">
            <w:pPr>
              <w:jc w:val="center"/>
              <w:rPr>
                <w:rFonts w:eastAsia="Arial"/>
                <w:lang w:eastAsia="ru-RU"/>
              </w:rPr>
            </w:pPr>
            <w:r w:rsidRPr="00305E72">
              <w:rPr>
                <w:rFonts w:eastAsia="Arial"/>
                <w:lang w:eastAsia="ru-RU"/>
              </w:rPr>
              <w:t>Технічні дані</w:t>
            </w:r>
          </w:p>
        </w:tc>
      </w:tr>
      <w:tr w:rsidR="00FE6470" w:rsidRPr="00305E72" w:rsidTr="00CA4992">
        <w:trPr>
          <w:jc w:val="center"/>
        </w:trPr>
        <w:tc>
          <w:tcPr>
            <w:tcW w:w="4395" w:type="dxa"/>
          </w:tcPr>
          <w:p w:rsidR="00FE6470" w:rsidRPr="00305E72" w:rsidRDefault="00FE6470" w:rsidP="00CA4992">
            <w:pPr>
              <w:ind w:left="3" w:right="-52"/>
              <w:jc w:val="both"/>
              <w:outlineLvl w:val="0"/>
              <w:rPr>
                <w:lang w:eastAsia="ru-RU"/>
              </w:rPr>
            </w:pPr>
          </w:p>
          <w:p w:rsidR="00FE6470" w:rsidRPr="00305E72" w:rsidRDefault="00FE6470" w:rsidP="00CA4992">
            <w:pPr>
              <w:ind w:left="3" w:right="-52"/>
              <w:jc w:val="both"/>
              <w:outlineLvl w:val="0"/>
              <w:rPr>
                <w:lang w:eastAsia="ru-RU"/>
              </w:rPr>
            </w:pPr>
            <w:r w:rsidRPr="00305E72">
              <w:rPr>
                <w:lang w:eastAsia="ru-RU"/>
              </w:rPr>
              <w:t>Вид підключення (технологія)</w:t>
            </w:r>
          </w:p>
        </w:tc>
        <w:tc>
          <w:tcPr>
            <w:tcW w:w="5455" w:type="dxa"/>
            <w:vAlign w:val="center"/>
          </w:tcPr>
          <w:p w:rsidR="00FE6470" w:rsidRPr="00305E72" w:rsidRDefault="00FE6470" w:rsidP="00CA4992">
            <w:pPr>
              <w:tabs>
                <w:tab w:val="left" w:pos="7020"/>
              </w:tabs>
              <w:jc w:val="center"/>
              <w:rPr>
                <w:rFonts w:eastAsia="Calibri"/>
                <w:bCs/>
                <w:lang w:eastAsia="en-US"/>
              </w:rPr>
            </w:pPr>
            <w:r w:rsidRPr="00305E72">
              <w:rPr>
                <w:rFonts w:eastAsia="Arial"/>
                <w:lang w:eastAsia="ru-RU"/>
              </w:rPr>
              <w:t xml:space="preserve"> </w:t>
            </w:r>
          </w:p>
          <w:p w:rsidR="00FE6470" w:rsidRPr="00305E72" w:rsidRDefault="00FE6470" w:rsidP="00FE6470">
            <w:pPr>
              <w:numPr>
                <w:ilvl w:val="0"/>
                <w:numId w:val="11"/>
              </w:numPr>
              <w:ind w:left="795" w:hanging="360"/>
            </w:pPr>
            <w:r w:rsidRPr="00305E72">
              <w:t xml:space="preserve">ВОЛЗ (Волоконно-оптична лінія зв’язку); </w:t>
            </w:r>
          </w:p>
          <w:p w:rsidR="00FE6470" w:rsidRPr="00305E72" w:rsidRDefault="00FE6470" w:rsidP="00FE6470">
            <w:pPr>
              <w:numPr>
                <w:ilvl w:val="0"/>
                <w:numId w:val="11"/>
              </w:numPr>
              <w:ind w:left="795" w:hanging="360"/>
            </w:pPr>
            <w:r w:rsidRPr="00305E72">
              <w:t>Комп’ютерна мережа (</w:t>
            </w:r>
            <w:proofErr w:type="spellStart"/>
            <w:r w:rsidRPr="00305E72">
              <w:t>Ethernet</w:t>
            </w:r>
            <w:proofErr w:type="spellEnd"/>
            <w:r w:rsidRPr="00305E72">
              <w:t>).</w:t>
            </w:r>
          </w:p>
          <w:p w:rsidR="00FE6470" w:rsidRPr="00305E72" w:rsidRDefault="00FE6470" w:rsidP="00CA4992">
            <w:pPr>
              <w:spacing w:line="256" w:lineRule="auto"/>
              <w:ind w:left="795"/>
            </w:pPr>
          </w:p>
        </w:tc>
      </w:tr>
      <w:tr w:rsidR="00FE6470" w:rsidRPr="00305E72" w:rsidTr="00CA4992">
        <w:trPr>
          <w:jc w:val="center"/>
        </w:trPr>
        <w:tc>
          <w:tcPr>
            <w:tcW w:w="4395" w:type="dxa"/>
          </w:tcPr>
          <w:p w:rsidR="00FE6470" w:rsidRPr="00305E72" w:rsidRDefault="00FE6470" w:rsidP="00CA4992">
            <w:pPr>
              <w:ind w:left="3" w:right="-52"/>
              <w:jc w:val="both"/>
              <w:outlineLvl w:val="0"/>
              <w:rPr>
                <w:lang w:eastAsia="ru-RU"/>
              </w:rPr>
            </w:pPr>
            <w:r w:rsidRPr="00305E72">
              <w:rPr>
                <w:lang w:eastAsia="ru-RU"/>
              </w:rPr>
              <w:t>Інтерфейс</w:t>
            </w:r>
          </w:p>
        </w:tc>
        <w:tc>
          <w:tcPr>
            <w:tcW w:w="5455" w:type="dxa"/>
          </w:tcPr>
          <w:p w:rsidR="00FE6470" w:rsidRPr="00305E72" w:rsidRDefault="00FE6470" w:rsidP="00CA4992">
            <w:pPr>
              <w:jc w:val="center"/>
              <w:outlineLvl w:val="0"/>
              <w:rPr>
                <w:lang w:eastAsia="ru-RU"/>
              </w:rPr>
            </w:pPr>
            <w:r w:rsidRPr="00305E72">
              <w:rPr>
                <w:lang w:eastAsia="ru-RU"/>
              </w:rPr>
              <w:t xml:space="preserve">IP, </w:t>
            </w:r>
            <w:proofErr w:type="spellStart"/>
            <w:r w:rsidRPr="00305E72">
              <w:rPr>
                <w:lang w:eastAsia="ru-RU"/>
              </w:rPr>
              <w:t>Ethernet</w:t>
            </w:r>
            <w:proofErr w:type="spellEnd"/>
          </w:p>
        </w:tc>
      </w:tr>
      <w:tr w:rsidR="00FE6470" w:rsidRPr="00305E72" w:rsidTr="00CA4992">
        <w:trPr>
          <w:trHeight w:val="306"/>
          <w:jc w:val="center"/>
        </w:trPr>
        <w:tc>
          <w:tcPr>
            <w:tcW w:w="4395" w:type="dxa"/>
          </w:tcPr>
          <w:p w:rsidR="00FE6470" w:rsidRPr="00305E72" w:rsidRDefault="00FE6470" w:rsidP="00CA4992">
            <w:pPr>
              <w:ind w:left="6" w:right="-51"/>
              <w:jc w:val="both"/>
              <w:outlineLvl w:val="0"/>
              <w:rPr>
                <w:lang w:eastAsia="en-US"/>
              </w:rPr>
            </w:pPr>
            <w:r w:rsidRPr="00305E72">
              <w:rPr>
                <w:lang w:eastAsia="ru-RU"/>
              </w:rPr>
              <w:t>Режим надання Послуг</w:t>
            </w:r>
          </w:p>
        </w:tc>
        <w:tc>
          <w:tcPr>
            <w:tcW w:w="5455" w:type="dxa"/>
            <w:vAlign w:val="center"/>
          </w:tcPr>
          <w:p w:rsidR="00FE6470" w:rsidRPr="00305E72" w:rsidRDefault="00FE6470" w:rsidP="00CA4992">
            <w:pPr>
              <w:outlineLvl w:val="0"/>
              <w:rPr>
                <w:lang w:eastAsia="en-US"/>
              </w:rPr>
            </w:pPr>
            <w:r w:rsidRPr="00305E72">
              <w:rPr>
                <w:lang w:eastAsia="en-US"/>
              </w:rPr>
              <w:t xml:space="preserve">Доступ до мережі Інтернет 24 години на добу, 7 днів на тиждень. </w:t>
            </w:r>
          </w:p>
          <w:p w:rsidR="00FE6470" w:rsidRPr="00305E72" w:rsidRDefault="00FE6470" w:rsidP="00CA4992">
            <w:pPr>
              <w:outlineLvl w:val="0"/>
              <w:rPr>
                <w:lang w:eastAsia="en-US"/>
              </w:rPr>
            </w:pPr>
            <w:r w:rsidRPr="00305E72">
              <w:rPr>
                <w:lang w:eastAsia="en-US"/>
              </w:rPr>
              <w:t xml:space="preserve">Час роботи в мережі Інтернет та обсяг передачі інформації не обмежується. </w:t>
            </w:r>
          </w:p>
        </w:tc>
      </w:tr>
    </w:tbl>
    <w:p w:rsidR="00FE6470" w:rsidRPr="00305E72" w:rsidRDefault="00FE6470" w:rsidP="00FE6470">
      <w:pPr>
        <w:rPr>
          <w:sz w:val="26"/>
        </w:rPr>
      </w:pPr>
    </w:p>
    <w:p w:rsidR="00FE6470" w:rsidRPr="005F4D67" w:rsidRDefault="00FE6470" w:rsidP="00FE6470">
      <w:pPr>
        <w:tabs>
          <w:tab w:val="left" w:pos="284"/>
          <w:tab w:val="left" w:pos="368"/>
        </w:tabs>
        <w:ind w:left="360"/>
        <w:contextualSpacing/>
        <w:jc w:val="both"/>
        <w:rPr>
          <w:color w:val="000000"/>
        </w:rPr>
      </w:pPr>
      <w:r w:rsidRPr="00305E72">
        <w:rPr>
          <w:color w:val="000000"/>
        </w:rPr>
        <w:t>3. Умови надання сервісної підтримки:</w:t>
      </w:r>
    </w:p>
    <w:p w:rsidR="00FE6470" w:rsidRPr="00305E72" w:rsidRDefault="00FE6470" w:rsidP="00FE6470">
      <w:pPr>
        <w:numPr>
          <w:ilvl w:val="0"/>
          <w:numId w:val="12"/>
        </w:numPr>
        <w:tabs>
          <w:tab w:val="left" w:pos="284"/>
        </w:tabs>
        <w:ind w:left="993"/>
        <w:contextualSpacing/>
        <w:jc w:val="both"/>
      </w:pPr>
      <w:r w:rsidRPr="00305E72">
        <w:t>Наявність власного Центру Технічної Підтримки з можливістю цілодобового та щоденного звернення (протягом 24 години на добу, 7 днів на тиждень) за телефоном або електронною поштою;</w:t>
      </w:r>
    </w:p>
    <w:p w:rsidR="00FE6470" w:rsidRPr="00305E72" w:rsidRDefault="00FE6470" w:rsidP="00FE6470">
      <w:pPr>
        <w:numPr>
          <w:ilvl w:val="0"/>
          <w:numId w:val="12"/>
        </w:numPr>
        <w:tabs>
          <w:tab w:val="left" w:pos="284"/>
        </w:tabs>
        <w:ind w:left="993"/>
        <w:contextualSpacing/>
        <w:jc w:val="both"/>
      </w:pPr>
      <w:r w:rsidRPr="00305E72">
        <w:t>При надходженні заявки на ремонт каналу (відсутність Послуги з вини Учасника) при перевищені строку ремонту (понад 24 години) припиняється нарахування абонентської плати за період з моменту подачі заявки до відновлення надання Послуги;</w:t>
      </w:r>
    </w:p>
    <w:p w:rsidR="00FE6470" w:rsidRPr="00305E72" w:rsidRDefault="00FE6470" w:rsidP="00FE6470">
      <w:pPr>
        <w:numPr>
          <w:ilvl w:val="0"/>
          <w:numId w:val="12"/>
        </w:numPr>
        <w:tabs>
          <w:tab w:val="left" w:pos="284"/>
        </w:tabs>
        <w:ind w:left="993"/>
        <w:contextualSpacing/>
        <w:jc w:val="both"/>
      </w:pPr>
      <w:r w:rsidRPr="00305E72">
        <w:t>Максимальний строк усунення аварійних ситуацій – 24 години.</w:t>
      </w:r>
    </w:p>
    <w:p w:rsidR="00FE6470" w:rsidRPr="00305E72" w:rsidRDefault="00FE6470" w:rsidP="00FE6470">
      <w:pPr>
        <w:tabs>
          <w:tab w:val="left" w:pos="284"/>
        </w:tabs>
        <w:ind w:left="993"/>
        <w:contextualSpacing/>
        <w:jc w:val="both"/>
      </w:pPr>
    </w:p>
    <w:p w:rsidR="00FE6470" w:rsidRPr="00305E72" w:rsidRDefault="00FE6470" w:rsidP="00FE6470">
      <w:pPr>
        <w:pStyle w:val="2"/>
        <w:tabs>
          <w:tab w:val="left" w:pos="284"/>
        </w:tabs>
        <w:autoSpaceDE w:val="0"/>
        <w:autoSpaceDN w:val="0"/>
        <w:adjustRightInd w:val="0"/>
        <w:ind w:left="207"/>
        <w:jc w:val="both"/>
        <w:rPr>
          <w:rFonts w:ascii="Times New Roman" w:hAnsi="Times New Roman"/>
          <w:bCs/>
          <w:sz w:val="24"/>
          <w:szCs w:val="24"/>
        </w:rPr>
      </w:pPr>
      <w:r w:rsidRPr="00305E72">
        <w:rPr>
          <w:rFonts w:ascii="Times New Roman" w:hAnsi="Times New Roman"/>
          <w:sz w:val="24"/>
          <w:szCs w:val="24"/>
        </w:rPr>
        <w:t>4.</w:t>
      </w:r>
      <w:r w:rsidRPr="00305E72">
        <w:t xml:space="preserve"> </w:t>
      </w:r>
      <w:r w:rsidRPr="00305E72">
        <w:rPr>
          <w:rFonts w:ascii="Times New Roman" w:hAnsi="Times New Roman"/>
          <w:bCs/>
          <w:sz w:val="24"/>
          <w:szCs w:val="24"/>
        </w:rPr>
        <w:t>Термін надання пос</w:t>
      </w:r>
      <w:r>
        <w:rPr>
          <w:rFonts w:ascii="Times New Roman" w:hAnsi="Times New Roman"/>
          <w:bCs/>
          <w:sz w:val="24"/>
          <w:szCs w:val="24"/>
        </w:rPr>
        <w:t xml:space="preserve">луг: </w:t>
      </w:r>
      <w:r w:rsidRPr="00E35AB8">
        <w:rPr>
          <w:rFonts w:ascii="Times New Roman" w:hAnsi="Times New Roman"/>
          <w:b/>
          <w:bCs/>
          <w:sz w:val="24"/>
          <w:szCs w:val="24"/>
        </w:rPr>
        <w:t>протягом 2023 року але не пізніше ніж по 31 грудня 2023 року (включно).</w:t>
      </w:r>
    </w:p>
    <w:p w:rsidR="00FE6470" w:rsidRDefault="00FE6470" w:rsidP="00FE6470">
      <w:pPr>
        <w:pStyle w:val="a3"/>
        <w:spacing w:before="0" w:beforeAutospacing="0" w:after="0" w:afterAutospacing="0"/>
        <w:jc w:val="both"/>
        <w:rPr>
          <w:rFonts w:eastAsia="Calibri"/>
          <w:sz w:val="36"/>
          <w:szCs w:val="36"/>
          <w:lang w:eastAsia="en-US"/>
        </w:rPr>
      </w:pPr>
    </w:p>
    <w:p w:rsidR="00FE6470" w:rsidRDefault="00FE6470" w:rsidP="00FE6470">
      <w:pPr>
        <w:pStyle w:val="a3"/>
        <w:spacing w:before="0" w:beforeAutospacing="0" w:after="0" w:afterAutospacing="0"/>
        <w:jc w:val="both"/>
        <w:rPr>
          <w:i/>
          <w:iCs/>
          <w:color w:val="000000"/>
        </w:rPr>
      </w:pPr>
      <w:r w:rsidRPr="00305E72">
        <w:rPr>
          <w:b/>
          <w:bCs/>
          <w:i/>
          <w:iCs/>
          <w:color w:val="000000"/>
        </w:rPr>
        <w:t>Примітка:</w:t>
      </w:r>
      <w:r w:rsidRPr="00305E72">
        <w:rPr>
          <w:i/>
          <w:iCs/>
          <w:color w:val="000000"/>
        </w:rPr>
        <w:t xml:space="preserve"> в тому випадку, якщо згідно вимог даної тендерної документації наявні посилання на певну торгову марку, виробника дані висловлювання варто розуміти з поняттям (або еквівалент).</w:t>
      </w:r>
    </w:p>
    <w:p w:rsidR="00FE6470" w:rsidRPr="00B53021" w:rsidRDefault="00FE6470" w:rsidP="00FE6470">
      <w:pPr>
        <w:pStyle w:val="a3"/>
        <w:spacing w:before="0" w:beforeAutospacing="0" w:after="0" w:afterAutospacing="0"/>
        <w:jc w:val="both"/>
      </w:pPr>
    </w:p>
    <w:p w:rsidR="00FE6470" w:rsidRPr="00CD0FB4" w:rsidRDefault="00FE6470" w:rsidP="00FE6470">
      <w:pPr>
        <w:pStyle w:val="a3"/>
        <w:spacing w:before="0" w:beforeAutospacing="0" w:after="0" w:afterAutospacing="0"/>
        <w:ind w:firstLine="160"/>
        <w:jc w:val="both"/>
        <w:rPr>
          <w:rFonts w:eastAsia="Calibri"/>
          <w:b/>
          <w:sz w:val="28"/>
          <w:szCs w:val="28"/>
          <w:lang w:eastAsia="en-US"/>
        </w:rPr>
      </w:pPr>
      <w:r>
        <w:rPr>
          <w:rFonts w:eastAsia="Calibri"/>
          <w:b/>
          <w:sz w:val="32"/>
          <w:szCs w:val="32"/>
          <w:lang w:eastAsia="en-US"/>
        </w:rPr>
        <w:t xml:space="preserve">      </w:t>
      </w:r>
      <w:r w:rsidRPr="00CD0FB4">
        <w:rPr>
          <w:rFonts w:eastAsia="Calibri"/>
          <w:b/>
          <w:sz w:val="28"/>
          <w:szCs w:val="28"/>
          <w:lang w:eastAsia="en-US"/>
        </w:rPr>
        <w:t>При підготовці тендерної пропозиції для підтвердження відповідності інформації про необхідні технічні, якісні та кількісні характеристики предмету закупівлі відповідно до вимог Додатку 4 до тендерної документації Учасник повинен надати:</w:t>
      </w:r>
    </w:p>
    <w:p w:rsidR="00FE6470" w:rsidRPr="00305E72" w:rsidRDefault="00FE6470" w:rsidP="00FE6470">
      <w:pPr>
        <w:pStyle w:val="2"/>
        <w:numPr>
          <w:ilvl w:val="0"/>
          <w:numId w:val="13"/>
        </w:numPr>
        <w:autoSpaceDE w:val="0"/>
        <w:autoSpaceDN w:val="0"/>
        <w:adjustRightInd w:val="0"/>
        <w:ind w:left="426"/>
        <w:jc w:val="both"/>
        <w:rPr>
          <w:rFonts w:ascii="Times New Roman" w:hAnsi="Times New Roman"/>
          <w:sz w:val="24"/>
          <w:szCs w:val="24"/>
        </w:rPr>
      </w:pPr>
      <w:r w:rsidRPr="00305E72">
        <w:rPr>
          <w:rFonts w:ascii="Times New Roman" w:hAnsi="Times New Roman"/>
          <w:sz w:val="24"/>
          <w:szCs w:val="24"/>
        </w:rPr>
        <w:t xml:space="preserve"> на фірмовому бланку Учасника (за наявності бланку) відповідну технічну специфікацію складену у відповідності до Додатку 4 цієї документації. Технічна специфікація повинна бути обов’язково підписана уповноваженою особою Учасника;</w:t>
      </w:r>
    </w:p>
    <w:p w:rsidR="00FE6470" w:rsidRPr="00AD1C4A" w:rsidRDefault="00FE6470" w:rsidP="00FE6470">
      <w:pPr>
        <w:pStyle w:val="2"/>
        <w:numPr>
          <w:ilvl w:val="0"/>
          <w:numId w:val="13"/>
        </w:numPr>
        <w:autoSpaceDE w:val="0"/>
        <w:autoSpaceDN w:val="0"/>
        <w:adjustRightInd w:val="0"/>
        <w:ind w:left="426"/>
        <w:jc w:val="both"/>
        <w:rPr>
          <w:rFonts w:ascii="Times New Roman" w:hAnsi="Times New Roman"/>
          <w:sz w:val="24"/>
          <w:szCs w:val="24"/>
          <w:highlight w:val="yellow"/>
        </w:rPr>
      </w:pPr>
      <w:r w:rsidRPr="00AD1C4A">
        <w:rPr>
          <w:rFonts w:ascii="Times New Roman" w:hAnsi="Times New Roman"/>
          <w:sz w:val="24"/>
          <w:szCs w:val="24"/>
          <w:highlight w:val="yellow"/>
        </w:rPr>
        <w:lastRenderedPageBreak/>
        <w:t xml:space="preserve">копії (копію) документів (документа), які (який) підтверджують включення Учасника до реєстру операторів, провайдерів телекомунікації з відповідною назвою виду телекомунікаційної послуги, територією на якій здійснюється діяльність у сфері </w:t>
      </w:r>
      <w:proofErr w:type="spellStart"/>
      <w:r w:rsidRPr="00AD1C4A">
        <w:rPr>
          <w:rFonts w:ascii="Times New Roman" w:hAnsi="Times New Roman"/>
          <w:sz w:val="24"/>
          <w:szCs w:val="24"/>
          <w:highlight w:val="yellow"/>
        </w:rPr>
        <w:t>телекомунікацій</w:t>
      </w:r>
      <w:proofErr w:type="spellEnd"/>
      <w:r w:rsidRPr="00AD1C4A">
        <w:rPr>
          <w:rFonts w:ascii="Times New Roman" w:hAnsi="Times New Roman"/>
          <w:sz w:val="24"/>
          <w:szCs w:val="24"/>
          <w:highlight w:val="yellow"/>
        </w:rPr>
        <w:t xml:space="preserve"> та статусом (оператор або провайдер) відповідно до вимог ст. 42 Закону України «Про телекомунікації» у порядку, запровадженому Рішенням Національної комісії, що здійснює державне регулювання у сфері зв’язку та інформатизації від</w:t>
      </w:r>
      <w:r w:rsidRPr="00AD1C4A">
        <w:rPr>
          <w:rFonts w:ascii="Times New Roman" w:hAnsi="Times New Roman"/>
          <w:highlight w:val="yellow"/>
        </w:rPr>
        <w:t xml:space="preserve"> </w:t>
      </w:r>
      <w:r w:rsidRPr="00AD1C4A">
        <w:rPr>
          <w:rFonts w:ascii="Times New Roman" w:hAnsi="Times New Roman"/>
          <w:sz w:val="24"/>
          <w:szCs w:val="24"/>
          <w:highlight w:val="yellow"/>
        </w:rPr>
        <w:t>17.12.2019 № 610.</w:t>
      </w:r>
    </w:p>
    <w:p w:rsidR="008E38A1" w:rsidRDefault="008E38A1" w:rsidP="008E38A1">
      <w:pPr>
        <w:pStyle w:val="a3"/>
        <w:spacing w:before="0" w:beforeAutospacing="0" w:after="0" w:afterAutospacing="0"/>
        <w:jc w:val="right"/>
        <w:rPr>
          <w:color w:val="000000"/>
        </w:rPr>
      </w:pPr>
    </w:p>
    <w:p w:rsidR="00DE3C4E" w:rsidRDefault="00DE3C4E" w:rsidP="00DE3C4E">
      <w:pPr>
        <w:spacing w:after="240"/>
      </w:pPr>
    </w:p>
    <w:p w:rsidR="00DE3C4E" w:rsidRDefault="00DE3C4E" w:rsidP="00DE3C4E">
      <w:pPr>
        <w:spacing w:after="240"/>
      </w:pPr>
    </w:p>
    <w:p w:rsidR="00DE3C4E" w:rsidRDefault="00DE3C4E" w:rsidP="00DE3C4E">
      <w:pPr>
        <w:spacing w:after="240"/>
      </w:pPr>
    </w:p>
    <w:p w:rsidR="00DE3C4E" w:rsidRDefault="00DE3C4E" w:rsidP="00DE3C4E">
      <w:pPr>
        <w:spacing w:after="240"/>
      </w:pPr>
    </w:p>
    <w:p w:rsidR="00C30E2E" w:rsidRPr="008E38A1" w:rsidRDefault="00C30E2E" w:rsidP="008E38A1"/>
    <w:sectPr w:rsidR="00C30E2E" w:rsidRPr="008E38A1" w:rsidSect="003B7D2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050A"/>
    <w:multiLevelType w:val="multilevel"/>
    <w:tmpl w:val="0520F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83A0D"/>
    <w:multiLevelType w:val="multilevel"/>
    <w:tmpl w:val="86EA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81536"/>
    <w:multiLevelType w:val="hybridMultilevel"/>
    <w:tmpl w:val="FB0A5EC0"/>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8D2A88"/>
    <w:multiLevelType w:val="multilevel"/>
    <w:tmpl w:val="7FB00C1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5"/>
      <w:numFmt w:val="decimal"/>
      <w:lvlText w:val="%3"/>
      <w:lvlJc w:val="left"/>
      <w:pPr>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6266CD"/>
    <w:multiLevelType w:val="multilevel"/>
    <w:tmpl w:val="0AB6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527E1C"/>
    <w:multiLevelType w:val="multilevel"/>
    <w:tmpl w:val="88DCC4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56768"/>
    <w:multiLevelType w:val="hybridMultilevel"/>
    <w:tmpl w:val="24D2E2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abstractNum w:abstractNumId="10">
    <w:nsid w:val="7FE257D1"/>
    <w:multiLevelType w:val="multilevel"/>
    <w:tmpl w:val="5D446A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7"/>
    <w:lvlOverride w:ilvl="0">
      <w:lvl w:ilvl="0">
        <w:numFmt w:val="decimal"/>
        <w:lvlText w:val="%1."/>
        <w:lvlJc w:val="left"/>
      </w:lvl>
    </w:lvlOverride>
  </w:num>
  <w:num w:numId="7">
    <w:abstractNumId w:val="5"/>
  </w:num>
  <w:num w:numId="8">
    <w:abstractNumId w:val="8"/>
  </w:num>
  <w:num w:numId="9">
    <w:abstractNumId w:val="4"/>
  </w:num>
  <w:num w:numId="10">
    <w:abstractNumId w:val="9"/>
  </w:num>
  <w:num w:numId="11">
    <w:abstractNumId w:val="3"/>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52B0C"/>
    <w:rsid w:val="00005582"/>
    <w:rsid w:val="000B51EE"/>
    <w:rsid w:val="00133E06"/>
    <w:rsid w:val="00164B65"/>
    <w:rsid w:val="003875F4"/>
    <w:rsid w:val="003B7D2B"/>
    <w:rsid w:val="003E71B0"/>
    <w:rsid w:val="00535763"/>
    <w:rsid w:val="005705C3"/>
    <w:rsid w:val="005E5694"/>
    <w:rsid w:val="005F5F79"/>
    <w:rsid w:val="006C3F07"/>
    <w:rsid w:val="006E24CB"/>
    <w:rsid w:val="00752B0C"/>
    <w:rsid w:val="008E38A1"/>
    <w:rsid w:val="008E6DAD"/>
    <w:rsid w:val="00944193"/>
    <w:rsid w:val="0096742C"/>
    <w:rsid w:val="009730D5"/>
    <w:rsid w:val="00A17424"/>
    <w:rsid w:val="00A17C4F"/>
    <w:rsid w:val="00A73263"/>
    <w:rsid w:val="00A73733"/>
    <w:rsid w:val="00AD1C4A"/>
    <w:rsid w:val="00AF6BC4"/>
    <w:rsid w:val="00B1209D"/>
    <w:rsid w:val="00B37587"/>
    <w:rsid w:val="00B423FE"/>
    <w:rsid w:val="00B91019"/>
    <w:rsid w:val="00BB3BAF"/>
    <w:rsid w:val="00C01CED"/>
    <w:rsid w:val="00C22DB9"/>
    <w:rsid w:val="00C30E2E"/>
    <w:rsid w:val="00C405B7"/>
    <w:rsid w:val="00C90DAD"/>
    <w:rsid w:val="00D5117A"/>
    <w:rsid w:val="00D5232C"/>
    <w:rsid w:val="00DA37B6"/>
    <w:rsid w:val="00DE3C4E"/>
    <w:rsid w:val="00EA6317"/>
    <w:rsid w:val="00F4571E"/>
    <w:rsid w:val="00FE6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link w:val="10"/>
    <w:uiPriority w:val="9"/>
    <w:qFormat/>
    <w:rsid w:val="00C22DB9"/>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nhideWhenUsed/>
    <w:qFormat/>
    <w:rsid w:val="00752B0C"/>
    <w:pPr>
      <w:spacing w:before="100" w:beforeAutospacing="1" w:after="100" w:afterAutospacing="1"/>
    </w:pPr>
  </w:style>
  <w:style w:type="character" w:customStyle="1" w:styleId="apple-tab-span">
    <w:name w:val="apple-tab-span"/>
    <w:basedOn w:val="a0"/>
    <w:rsid w:val="00752B0C"/>
  </w:style>
  <w:style w:type="character" w:customStyle="1" w:styleId="10">
    <w:name w:val="Заголовок 1 Знак"/>
    <w:basedOn w:val="a0"/>
    <w:link w:val="1"/>
    <w:uiPriority w:val="9"/>
    <w:rsid w:val="00C22DB9"/>
    <w:rPr>
      <w:rFonts w:ascii="Times New Roman" w:eastAsia="Times New Roman" w:hAnsi="Times New Roman" w:cs="Times New Roman"/>
      <w:b/>
      <w:bCs/>
      <w:kern w:val="36"/>
      <w:sz w:val="48"/>
      <w:szCs w:val="48"/>
      <w:lang w:val="ru-RU" w:eastAsia="ru-RU"/>
    </w:rPr>
  </w:style>
  <w:style w:type="paragraph" w:styleId="a5">
    <w:name w:val="Balloon Text"/>
    <w:basedOn w:val="a"/>
    <w:link w:val="a6"/>
    <w:uiPriority w:val="99"/>
    <w:semiHidden/>
    <w:unhideWhenUsed/>
    <w:rsid w:val="00C30E2E"/>
    <w:rPr>
      <w:rFonts w:ascii="Tahoma" w:hAnsi="Tahoma" w:cs="Tahoma"/>
      <w:sz w:val="16"/>
      <w:szCs w:val="16"/>
    </w:rPr>
  </w:style>
  <w:style w:type="character" w:customStyle="1" w:styleId="a6">
    <w:name w:val="Текст выноски Знак"/>
    <w:basedOn w:val="a0"/>
    <w:link w:val="a5"/>
    <w:uiPriority w:val="99"/>
    <w:semiHidden/>
    <w:rsid w:val="00C30E2E"/>
    <w:rPr>
      <w:rFonts w:ascii="Tahoma" w:hAnsi="Tahoma" w:cs="Tahoma"/>
      <w:sz w:val="16"/>
      <w:szCs w:val="16"/>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C90DAD"/>
    <w:rPr>
      <w:rFonts w:ascii="Times New Roman" w:eastAsia="Times New Roman" w:hAnsi="Times New Roman" w:cs="Times New Roman"/>
      <w:sz w:val="24"/>
      <w:szCs w:val="24"/>
    </w:rPr>
  </w:style>
  <w:style w:type="paragraph" w:customStyle="1" w:styleId="2">
    <w:name w:val="Абзац списка2"/>
    <w:aliases w:val="название табл/рис,AC List 01"/>
    <w:basedOn w:val="a"/>
    <w:link w:val="a7"/>
    <w:uiPriority w:val="34"/>
    <w:qFormat/>
    <w:rsid w:val="00FE6470"/>
    <w:pPr>
      <w:ind w:left="720"/>
      <w:contextualSpacing/>
    </w:pPr>
    <w:rPr>
      <w:rFonts w:ascii="UkrainianBaltica" w:hAnsi="UkrainianBaltica"/>
      <w:sz w:val="20"/>
      <w:szCs w:val="20"/>
    </w:rPr>
  </w:style>
  <w:style w:type="character" w:customStyle="1" w:styleId="a7">
    <w:name w:val="Абзац списка Знак"/>
    <w:aliases w:val="название табл/рис Знак,AC List 01 Знак"/>
    <w:link w:val="2"/>
    <w:uiPriority w:val="34"/>
    <w:rsid w:val="00FE6470"/>
    <w:rPr>
      <w:rFonts w:ascii="UkrainianBaltica" w:eastAsia="Times New Roman" w:hAnsi="UkrainianBaltic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086982">
      <w:bodyDiv w:val="1"/>
      <w:marLeft w:val="0"/>
      <w:marRight w:val="0"/>
      <w:marTop w:val="0"/>
      <w:marBottom w:val="0"/>
      <w:divBdr>
        <w:top w:val="none" w:sz="0" w:space="0" w:color="auto"/>
        <w:left w:val="none" w:sz="0" w:space="0" w:color="auto"/>
        <w:bottom w:val="none" w:sz="0" w:space="0" w:color="auto"/>
        <w:right w:val="none" w:sz="0" w:space="0" w:color="auto"/>
      </w:divBdr>
      <w:divsChild>
        <w:div w:id="190846915">
          <w:marLeft w:val="-100"/>
          <w:marRight w:val="0"/>
          <w:marTop w:val="0"/>
          <w:marBottom w:val="0"/>
          <w:divBdr>
            <w:top w:val="none" w:sz="0" w:space="0" w:color="auto"/>
            <w:left w:val="none" w:sz="0" w:space="0" w:color="auto"/>
            <w:bottom w:val="none" w:sz="0" w:space="0" w:color="auto"/>
            <w:right w:val="none" w:sz="0" w:space="0" w:color="auto"/>
          </w:divBdr>
        </w:div>
      </w:divsChild>
    </w:div>
    <w:div w:id="20009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Любов</cp:lastModifiedBy>
  <cp:revision>6</cp:revision>
  <cp:lastPrinted>2022-06-29T08:26:00Z</cp:lastPrinted>
  <dcterms:created xsi:type="dcterms:W3CDTF">2022-11-28T10:46:00Z</dcterms:created>
  <dcterms:modified xsi:type="dcterms:W3CDTF">2022-11-28T14:55:00Z</dcterms:modified>
</cp:coreProperties>
</file>