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260E27">
        <w:rPr>
          <w:rFonts w:ascii="Times New Roman" w:eastAsia="Times New Roman" w:hAnsi="Times New Roman" w:cs="Times New Roman"/>
          <w:b/>
          <w:sz w:val="24"/>
          <w:szCs w:val="24"/>
          <w:lang w:val="ru-RU"/>
        </w:rPr>
        <w:t>03.11</w:t>
      </w:r>
      <w:r w:rsidR="008A6ED6">
        <w:rPr>
          <w:rFonts w:ascii="Times New Roman" w:eastAsia="Times New Roman" w:hAnsi="Times New Roman" w:cs="Times New Roman"/>
          <w:b/>
          <w:sz w:val="24"/>
          <w:szCs w:val="24"/>
          <w:lang w:val="ru-RU"/>
        </w:rPr>
        <w:t>.2023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260E27">
        <w:rPr>
          <w:rFonts w:ascii="Times New Roman" w:eastAsia="Times New Roman" w:hAnsi="Times New Roman" w:cs="Times New Roman"/>
          <w:b/>
          <w:sz w:val="24"/>
          <w:szCs w:val="24"/>
        </w:rPr>
        <w:t>03</w:t>
      </w:r>
      <w:r w:rsidRPr="00F2659E">
        <w:rPr>
          <w:rFonts w:ascii="Times New Roman" w:eastAsia="Times New Roman" w:hAnsi="Times New Roman" w:cs="Times New Roman"/>
          <w:b/>
          <w:sz w:val="24"/>
          <w:szCs w:val="24"/>
        </w:rPr>
        <w:t xml:space="preserve">» </w:t>
      </w:r>
      <w:r w:rsidR="00260E27">
        <w:rPr>
          <w:rFonts w:ascii="Times New Roman" w:eastAsia="Times New Roman" w:hAnsi="Times New Roman" w:cs="Times New Roman"/>
          <w:b/>
          <w:sz w:val="24"/>
          <w:szCs w:val="24"/>
          <w:lang w:val="ru-RU"/>
        </w:rPr>
        <w:t>листопада</w:t>
      </w:r>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2E4E50">
        <w:rPr>
          <w:rFonts w:ascii="Times New Roman" w:eastAsia="Times New Roman" w:hAnsi="Times New Roman" w:cs="Times New Roman"/>
          <w:b/>
          <w:bCs/>
          <w:sz w:val="24"/>
          <w:szCs w:val="24"/>
        </w:rPr>
        <w:t>09130000-9</w:t>
      </w:r>
      <w:r w:rsidR="005E757B">
        <w:rPr>
          <w:rFonts w:ascii="Times New Roman" w:eastAsia="Times New Roman" w:hAnsi="Times New Roman" w:cs="Times New Roman"/>
          <w:b/>
          <w:bCs/>
          <w:sz w:val="24"/>
          <w:szCs w:val="24"/>
        </w:rPr>
        <w:t>( Нафта і дистиляти</w:t>
      </w:r>
      <w:r w:rsidR="00836FC5">
        <w:rPr>
          <w:rFonts w:ascii="Times New Roman" w:eastAsia="Times New Roman" w:hAnsi="Times New Roman" w:cs="Times New Roman"/>
          <w:b/>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E461CC">
              <w:rPr>
                <w:rFonts w:ascii="Times New Roman" w:eastAsia="Times New Roman" w:hAnsi="Times New Roman" w:cs="Times New Roman"/>
                <w:sz w:val="24"/>
                <w:szCs w:val="24"/>
              </w:rPr>
              <w:t>Сокирко Наталія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E461CC">
              <w:rPr>
                <w:rFonts w:ascii="Times New Roman" w:eastAsia="Times New Roman" w:hAnsi="Times New Roman" w:cs="Times New Roman"/>
                <w:sz w:val="24"/>
                <w:szCs w:val="24"/>
              </w:rPr>
              <w:t>096)9475416</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w:t>
            </w:r>
            <w:r w:rsidR="005E757B">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w:t>
            </w:r>
            <w:r w:rsidR="005E757B">
              <w:rPr>
                <w:rFonts w:ascii="Times New Roman" w:eastAsia="Times New Roman" w:hAnsi="Times New Roman" w:cs="Times New Roman"/>
                <w:b/>
                <w:bCs/>
                <w:sz w:val="24"/>
                <w:szCs w:val="24"/>
              </w:rPr>
              <w:t>09130000-9 Нафта і дистиляти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r w:rsidR="005E757B">
              <w:rPr>
                <w:rFonts w:ascii="Times New Roman" w:eastAsia="Times New Roman" w:hAnsi="Times New Roman" w:cs="Times New Roman"/>
                <w:sz w:val="24"/>
                <w:szCs w:val="24"/>
              </w:rPr>
              <w:t>бензин А-92 500л,бензин А-95 500л.</w:t>
            </w:r>
          </w:p>
          <w:p w:rsidR="004B3944" w:rsidRPr="002344D5" w:rsidRDefault="004B3944" w:rsidP="00095C89">
            <w:pPr>
              <w:tabs>
                <w:tab w:val="left" w:pos="2784"/>
              </w:tabs>
              <w:jc w:val="both"/>
              <w:rPr>
                <w:rFonts w:ascii="Times New Roman" w:eastAsia="Times New Roman" w:hAnsi="Times New Roman" w:cs="Times New Roman"/>
                <w:sz w:val="24"/>
                <w:szCs w:val="24"/>
              </w:rPr>
            </w:pP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D65089">
              <w:rPr>
                <w:rFonts w:ascii="Times New Roman" w:eastAsia="Times New Roman" w:hAnsi="Times New Roman" w:cs="Times New Roman"/>
                <w:sz w:val="24"/>
                <w:szCs w:val="24"/>
              </w:rPr>
              <w:t>до 31.12</w:t>
            </w:r>
            <w:r w:rsidRPr="000F2B41">
              <w:rPr>
                <w:rFonts w:ascii="Times New Roman" w:eastAsia="Times New Roman" w:hAnsi="Times New Roman" w:cs="Times New Roman"/>
                <w:sz w:val="24"/>
                <w:szCs w:val="24"/>
              </w:rPr>
              <w:t>.2023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w:t>
            </w:r>
            <w:r w:rsidRPr="000F2B41">
              <w:rPr>
                <w:rFonts w:ascii="Times New Roman" w:eastAsia="Times New Roman" w:hAnsi="Times New Roman" w:cs="Times New Roman"/>
                <w:sz w:val="24"/>
                <w:szCs w:val="24"/>
              </w:rPr>
              <w:lastRenderedPageBreak/>
              <w:t>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w:t>
            </w:r>
            <w:r w:rsidRPr="000F2B41">
              <w:rPr>
                <w:rFonts w:ascii="Times New Roman" w:eastAsia="Times New Roman" w:hAnsi="Times New Roman" w:cs="Times New Roman"/>
                <w:sz w:val="24"/>
                <w:szCs w:val="24"/>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0F2B41">
              <w:rPr>
                <w:rFonts w:ascii="Times New Roman" w:eastAsia="Times New Roman" w:hAnsi="Times New Roman" w:cs="Times New Roman"/>
                <w:sz w:val="24"/>
                <w:szCs w:val="24"/>
              </w:rPr>
              <w:lastRenderedPageBreak/>
              <w:t>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F2B41">
              <w:rPr>
                <w:rFonts w:ascii="Times New Roman" w:eastAsia="Times New Roman" w:hAnsi="Times New Roman" w:cs="Times New Roman"/>
                <w:sz w:val="24"/>
                <w:szCs w:val="24"/>
              </w:rPr>
              <w:lastRenderedPageBreak/>
              <w:t xml:space="preserve">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міститься інформація про позитивні відгуки від </w:t>
            </w:r>
            <w:r w:rsidRPr="000F2B41">
              <w:rPr>
                <w:rFonts w:ascii="Times New Roman" w:eastAsia="Times New Roman" w:hAnsi="Times New Roman" w:cs="Times New Roman"/>
                <w:b/>
                <w:sz w:val="24"/>
                <w:szCs w:val="24"/>
              </w:rPr>
              <w:lastRenderedPageBreak/>
              <w:t>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0F2B41">
              <w:rPr>
                <w:rFonts w:ascii="Times New Roman" w:eastAsia="Times New Roman" w:hAnsi="Times New Roman" w:cs="Times New Roman"/>
                <w:sz w:val="24"/>
                <w:szCs w:val="24"/>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w:t>
            </w:r>
            <w:r w:rsidRPr="000F2B41">
              <w:rPr>
                <w:rFonts w:ascii="Times New Roman" w:eastAsia="Times New Roman" w:hAnsi="Times New Roman" w:cs="Times New Roman"/>
                <w:sz w:val="24"/>
                <w:szCs w:val="24"/>
              </w:rPr>
              <w:lastRenderedPageBreak/>
              <w:t xml:space="preserve">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w:t>
            </w:r>
            <w:r w:rsidRPr="000F2B41">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D3150C">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D3150C"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D3150C">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260E27">
              <w:rPr>
                <w:rFonts w:ascii="Times New Roman" w:eastAsia="Times New Roman" w:hAnsi="Times New Roman" w:cs="Times New Roman"/>
                <w:sz w:val="24"/>
                <w:szCs w:val="24"/>
              </w:rPr>
              <w:t>11</w:t>
            </w:r>
            <w:r w:rsidR="009D751D">
              <w:rPr>
                <w:rFonts w:ascii="Times New Roman" w:eastAsia="Times New Roman" w:hAnsi="Times New Roman" w:cs="Times New Roman"/>
                <w:sz w:val="24"/>
                <w:szCs w:val="24"/>
              </w:rPr>
              <w:t>.11</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D315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D3150C">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92" w:rsidRDefault="003B1C92">
      <w:r>
        <w:separator/>
      </w:r>
    </w:p>
  </w:endnote>
  <w:endnote w:type="continuationSeparator" w:id="0">
    <w:p w:rsidR="003B1C92" w:rsidRDefault="003B1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92" w:rsidRDefault="003B1C92">
      <w:r>
        <w:separator/>
      </w:r>
    </w:p>
  </w:footnote>
  <w:footnote w:type="continuationSeparator" w:id="0">
    <w:p w:rsidR="003B1C92" w:rsidRDefault="003B1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D3150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60E27">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23704"/>
    <w:rsid w:val="000504DE"/>
    <w:rsid w:val="00076BE5"/>
    <w:rsid w:val="00090072"/>
    <w:rsid w:val="0009110F"/>
    <w:rsid w:val="00095C89"/>
    <w:rsid w:val="000B504C"/>
    <w:rsid w:val="000B6A3E"/>
    <w:rsid w:val="000C0608"/>
    <w:rsid w:val="000C06DB"/>
    <w:rsid w:val="000D7872"/>
    <w:rsid w:val="000F2B41"/>
    <w:rsid w:val="000F4D46"/>
    <w:rsid w:val="00111243"/>
    <w:rsid w:val="00111B19"/>
    <w:rsid w:val="00112456"/>
    <w:rsid w:val="00117A52"/>
    <w:rsid w:val="001564BE"/>
    <w:rsid w:val="00187CB2"/>
    <w:rsid w:val="001B626D"/>
    <w:rsid w:val="001C35F9"/>
    <w:rsid w:val="001D0348"/>
    <w:rsid w:val="001F075B"/>
    <w:rsid w:val="00211778"/>
    <w:rsid w:val="002249AC"/>
    <w:rsid w:val="00224D3F"/>
    <w:rsid w:val="002276A7"/>
    <w:rsid w:val="002344D5"/>
    <w:rsid w:val="00234C0E"/>
    <w:rsid w:val="002550E6"/>
    <w:rsid w:val="00260E27"/>
    <w:rsid w:val="002625CE"/>
    <w:rsid w:val="002B4969"/>
    <w:rsid w:val="002D1A3B"/>
    <w:rsid w:val="002E4E50"/>
    <w:rsid w:val="002E765C"/>
    <w:rsid w:val="003004B5"/>
    <w:rsid w:val="0031337B"/>
    <w:rsid w:val="00315CA3"/>
    <w:rsid w:val="00355A80"/>
    <w:rsid w:val="003B1C92"/>
    <w:rsid w:val="00422F28"/>
    <w:rsid w:val="00423AA4"/>
    <w:rsid w:val="0042739C"/>
    <w:rsid w:val="004368A9"/>
    <w:rsid w:val="00443B83"/>
    <w:rsid w:val="00482236"/>
    <w:rsid w:val="00492A7E"/>
    <w:rsid w:val="004A763C"/>
    <w:rsid w:val="004B3944"/>
    <w:rsid w:val="004C3500"/>
    <w:rsid w:val="004D1776"/>
    <w:rsid w:val="004E4122"/>
    <w:rsid w:val="004F5112"/>
    <w:rsid w:val="00520FAD"/>
    <w:rsid w:val="00570C93"/>
    <w:rsid w:val="00576DA1"/>
    <w:rsid w:val="005834B2"/>
    <w:rsid w:val="005854FD"/>
    <w:rsid w:val="005B655E"/>
    <w:rsid w:val="005C3C4C"/>
    <w:rsid w:val="005D284E"/>
    <w:rsid w:val="005D56B8"/>
    <w:rsid w:val="005E757B"/>
    <w:rsid w:val="005F71EE"/>
    <w:rsid w:val="00642C9C"/>
    <w:rsid w:val="0064571B"/>
    <w:rsid w:val="0066263C"/>
    <w:rsid w:val="00680650"/>
    <w:rsid w:val="006B6231"/>
    <w:rsid w:val="006C393E"/>
    <w:rsid w:val="006D6630"/>
    <w:rsid w:val="006F03DB"/>
    <w:rsid w:val="0070608C"/>
    <w:rsid w:val="00706FCE"/>
    <w:rsid w:val="0075500A"/>
    <w:rsid w:val="00761F31"/>
    <w:rsid w:val="007876F2"/>
    <w:rsid w:val="007A7C39"/>
    <w:rsid w:val="007B2EAA"/>
    <w:rsid w:val="007C1A34"/>
    <w:rsid w:val="008138B7"/>
    <w:rsid w:val="00836FC5"/>
    <w:rsid w:val="0089275F"/>
    <w:rsid w:val="008A29B8"/>
    <w:rsid w:val="008A61B2"/>
    <w:rsid w:val="008A6ED6"/>
    <w:rsid w:val="008B3067"/>
    <w:rsid w:val="00906F48"/>
    <w:rsid w:val="00925C82"/>
    <w:rsid w:val="00962404"/>
    <w:rsid w:val="009656EA"/>
    <w:rsid w:val="009774D1"/>
    <w:rsid w:val="009A08EC"/>
    <w:rsid w:val="009B0A0C"/>
    <w:rsid w:val="009B5BED"/>
    <w:rsid w:val="009D23C5"/>
    <w:rsid w:val="009D751D"/>
    <w:rsid w:val="009F6B93"/>
    <w:rsid w:val="00A01D4F"/>
    <w:rsid w:val="00AF0690"/>
    <w:rsid w:val="00AF7ADC"/>
    <w:rsid w:val="00B17960"/>
    <w:rsid w:val="00B33156"/>
    <w:rsid w:val="00B8026B"/>
    <w:rsid w:val="00B84EA1"/>
    <w:rsid w:val="00B90DDA"/>
    <w:rsid w:val="00BA4A2E"/>
    <w:rsid w:val="00BE7987"/>
    <w:rsid w:val="00BF07C3"/>
    <w:rsid w:val="00BF64DE"/>
    <w:rsid w:val="00C0368D"/>
    <w:rsid w:val="00C15211"/>
    <w:rsid w:val="00C60338"/>
    <w:rsid w:val="00CA2100"/>
    <w:rsid w:val="00CB09D0"/>
    <w:rsid w:val="00CB3609"/>
    <w:rsid w:val="00CD4149"/>
    <w:rsid w:val="00CD70C5"/>
    <w:rsid w:val="00CE1A9B"/>
    <w:rsid w:val="00CF0D58"/>
    <w:rsid w:val="00CF2072"/>
    <w:rsid w:val="00D07286"/>
    <w:rsid w:val="00D16969"/>
    <w:rsid w:val="00D3150C"/>
    <w:rsid w:val="00D44AA7"/>
    <w:rsid w:val="00D64FC4"/>
    <w:rsid w:val="00D65089"/>
    <w:rsid w:val="00D85F96"/>
    <w:rsid w:val="00D91708"/>
    <w:rsid w:val="00DA20E7"/>
    <w:rsid w:val="00DC42E0"/>
    <w:rsid w:val="00DD2325"/>
    <w:rsid w:val="00DE362F"/>
    <w:rsid w:val="00E461CC"/>
    <w:rsid w:val="00E46F1D"/>
    <w:rsid w:val="00E61331"/>
    <w:rsid w:val="00E715F7"/>
    <w:rsid w:val="00E731A6"/>
    <w:rsid w:val="00E81E8C"/>
    <w:rsid w:val="00E87611"/>
    <w:rsid w:val="00E87BCF"/>
    <w:rsid w:val="00EB315F"/>
    <w:rsid w:val="00EC6A51"/>
    <w:rsid w:val="00ED0B55"/>
    <w:rsid w:val="00ED7356"/>
    <w:rsid w:val="00EE30ED"/>
    <w:rsid w:val="00EF2A39"/>
    <w:rsid w:val="00F2659E"/>
    <w:rsid w:val="00F534F6"/>
    <w:rsid w:val="00F6766D"/>
    <w:rsid w:val="00F6769C"/>
    <w:rsid w:val="00F8769D"/>
    <w:rsid w:val="00F942CD"/>
    <w:rsid w:val="00FA7215"/>
    <w:rsid w:val="00FB10B0"/>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39983</Words>
  <Characters>22791</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3</cp:revision>
  <cp:lastPrinted>2023-09-13T11:38:00Z</cp:lastPrinted>
  <dcterms:created xsi:type="dcterms:W3CDTF">2023-11-03T12:22:00Z</dcterms:created>
  <dcterms:modified xsi:type="dcterms:W3CDTF">2023-11-03T14:16:00Z</dcterms:modified>
</cp:coreProperties>
</file>