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</w:tblGrid>
      <w:tr w:rsidR="002E1F8B" w:rsidRPr="00235C4D" w14:paraId="14332EE8" w14:textId="77777777" w:rsidTr="00235C4D">
        <w:trPr>
          <w:trHeight w:val="1560"/>
          <w:jc w:val="center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287B994" w14:textId="77777777" w:rsidR="002E1F8B" w:rsidRPr="00266956" w:rsidRDefault="002E1F8B">
            <w:pPr>
              <w:pStyle w:val="a3"/>
              <w:shd w:val="clear" w:color="auto" w:fill="FFFFFF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6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 </w:t>
            </w:r>
            <w:r w:rsidRPr="00266956">
              <w:rPr>
                <w:rFonts w:ascii="Times New Roman" w:hAnsi="Times New Roman" w:cs="Times New Roman"/>
                <w:bCs/>
                <w:sz w:val="24"/>
                <w:szCs w:val="24"/>
              </w:rPr>
              <w:t>«ЗАТВЕРДЖЕНО»</w:t>
            </w:r>
          </w:p>
          <w:p w14:paraId="6BE73569" w14:textId="77777777" w:rsidR="002E1F8B" w:rsidRPr="00266956" w:rsidRDefault="002E1F8B">
            <w:pPr>
              <w:pStyle w:val="a3"/>
              <w:shd w:val="clear" w:color="auto" w:fill="FFFFFF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6956">
              <w:rPr>
                <w:rFonts w:ascii="Times New Roman" w:hAnsi="Times New Roman" w:cs="Times New Roman"/>
                <w:bCs/>
                <w:sz w:val="24"/>
                <w:szCs w:val="24"/>
              </w:rPr>
              <w:t>рішенням</w:t>
            </w:r>
            <w:proofErr w:type="spellEnd"/>
            <w:r w:rsidRPr="00266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6956">
              <w:rPr>
                <w:rFonts w:ascii="Times New Roman" w:hAnsi="Times New Roman" w:cs="Times New Roman"/>
                <w:bCs/>
                <w:sz w:val="24"/>
                <w:szCs w:val="24"/>
              </w:rPr>
              <w:t>Уповноваженої</w:t>
            </w:r>
            <w:proofErr w:type="spellEnd"/>
            <w:r w:rsidRPr="00266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особи</w:t>
            </w:r>
          </w:p>
          <w:p w14:paraId="1FF8E466" w14:textId="2EF4CA46" w:rsidR="002E1F8B" w:rsidRPr="00266956" w:rsidRDefault="00846780" w:rsidP="00846780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="00266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E1F8B" w:rsidRPr="00266956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</w:t>
            </w:r>
            <w:r w:rsidRPr="0026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08/06</w:t>
            </w:r>
            <w:r w:rsidR="002E1F8B" w:rsidRPr="00266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E1F8B" w:rsidRPr="00266956">
              <w:rPr>
                <w:rFonts w:ascii="Times New Roman" w:hAnsi="Times New Roman" w:cs="Times New Roman"/>
                <w:bCs/>
                <w:sz w:val="24"/>
                <w:szCs w:val="24"/>
              </w:rPr>
              <w:t>від</w:t>
            </w:r>
            <w:proofErr w:type="spellEnd"/>
            <w:r w:rsidR="002E1F8B" w:rsidRPr="00266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69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08</w:t>
            </w:r>
            <w:r w:rsidR="002E1F8B" w:rsidRPr="002669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66956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="002E1F8B" w:rsidRPr="00266956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Pr="0026695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2A5EDC39" w14:textId="1798EF25" w:rsidR="002E1F8B" w:rsidRPr="00266956" w:rsidRDefault="00266956">
            <w:pPr>
              <w:pStyle w:val="a3"/>
              <w:shd w:val="clear" w:color="auto" w:fill="FFFFFF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</w:t>
            </w:r>
          </w:p>
        </w:tc>
      </w:tr>
    </w:tbl>
    <w:p w14:paraId="3D563597" w14:textId="4B21FD3C" w:rsidR="00846780" w:rsidRPr="00235C4D" w:rsidRDefault="00846780" w:rsidP="00846780">
      <w:pPr>
        <w:ind w:left="284"/>
        <w:jc w:val="center"/>
        <w:rPr>
          <w:sz w:val="24"/>
          <w:szCs w:val="24"/>
        </w:rPr>
      </w:pPr>
      <w:r w:rsidRPr="00235C4D">
        <w:rPr>
          <w:sz w:val="24"/>
          <w:szCs w:val="24"/>
        </w:rPr>
        <w:t>ПЕРЕЛІК ЗМІН № 1</w:t>
      </w:r>
    </w:p>
    <w:p w14:paraId="2F52B900" w14:textId="77777777" w:rsidR="00846780" w:rsidRPr="00235C4D" w:rsidRDefault="00846780" w:rsidP="00846780">
      <w:pPr>
        <w:ind w:left="284"/>
        <w:jc w:val="center"/>
        <w:rPr>
          <w:sz w:val="24"/>
          <w:szCs w:val="24"/>
        </w:rPr>
      </w:pPr>
      <w:r w:rsidRPr="00235C4D">
        <w:rPr>
          <w:sz w:val="24"/>
          <w:szCs w:val="24"/>
        </w:rPr>
        <w:t>ДО ТЕНДЕРНОЇ ДОКУМЕНТАЦІЇ</w:t>
      </w:r>
    </w:p>
    <w:p w14:paraId="71358310" w14:textId="0144FC45" w:rsidR="00846780" w:rsidRPr="00235C4D" w:rsidRDefault="00846780" w:rsidP="00247FFE">
      <w:pPr>
        <w:ind w:left="284"/>
        <w:jc w:val="center"/>
        <w:rPr>
          <w:color w:val="000000"/>
          <w:sz w:val="24"/>
          <w:szCs w:val="24"/>
          <w:shd w:val="clear" w:color="auto" w:fill="FDFEFD"/>
        </w:rPr>
      </w:pPr>
      <w:r w:rsidRPr="00235C4D">
        <w:rPr>
          <w:sz w:val="24"/>
          <w:szCs w:val="24"/>
        </w:rPr>
        <w:t>на закупівлю</w:t>
      </w:r>
      <w:r w:rsidR="00247FFE" w:rsidRPr="00247FFE">
        <w:rPr>
          <w:sz w:val="24"/>
          <w:szCs w:val="24"/>
          <w:lang w:val="ru-RU"/>
        </w:rPr>
        <w:t xml:space="preserve"> </w:t>
      </w:r>
      <w:r w:rsidRPr="00235C4D">
        <w:rPr>
          <w:bCs/>
          <w:color w:val="000000"/>
          <w:spacing w:val="1"/>
          <w:sz w:val="24"/>
          <w:szCs w:val="24"/>
          <w:lang w:val="ru-RU"/>
        </w:rPr>
        <w:t>п</w:t>
      </w:r>
      <w:proofErr w:type="spellStart"/>
      <w:r w:rsidRPr="00235C4D">
        <w:rPr>
          <w:color w:val="000000"/>
          <w:sz w:val="24"/>
          <w:szCs w:val="24"/>
          <w:shd w:val="clear" w:color="auto" w:fill="FDFEFD"/>
        </w:rPr>
        <w:t>ослуг</w:t>
      </w:r>
      <w:proofErr w:type="spellEnd"/>
      <w:r w:rsidRPr="00235C4D">
        <w:rPr>
          <w:color w:val="000000"/>
          <w:sz w:val="24"/>
          <w:szCs w:val="24"/>
          <w:shd w:val="clear" w:color="auto" w:fill="FDFEFD"/>
        </w:rPr>
        <w:t xml:space="preserve"> з організації харчування здобувачів освіти</w:t>
      </w:r>
    </w:p>
    <w:p w14:paraId="7E5E1C5F" w14:textId="0000AFD5" w:rsidR="00846780" w:rsidRPr="00235C4D" w:rsidRDefault="00846780" w:rsidP="00846780">
      <w:pPr>
        <w:jc w:val="center"/>
        <w:rPr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235C4D">
        <w:rPr>
          <w:bCs/>
          <w:color w:val="000000"/>
          <w:spacing w:val="1"/>
          <w:sz w:val="24"/>
          <w:szCs w:val="24"/>
        </w:rPr>
        <w:t xml:space="preserve">ДК 021:2015 </w:t>
      </w:r>
      <w:r w:rsidRPr="00235C4D">
        <w:rPr>
          <w:color w:val="000000"/>
          <w:sz w:val="24"/>
          <w:szCs w:val="24"/>
          <w:bdr w:val="none" w:sz="0" w:space="0" w:color="auto" w:frame="1"/>
          <w:shd w:val="clear" w:color="auto" w:fill="FDFEFD"/>
        </w:rPr>
        <w:t>55510000-8</w:t>
      </w:r>
      <w:r w:rsidRPr="00235C4D">
        <w:rPr>
          <w:color w:val="777777"/>
          <w:sz w:val="24"/>
          <w:szCs w:val="24"/>
          <w:shd w:val="clear" w:color="auto" w:fill="FDFEFD"/>
        </w:rPr>
        <w:t> - </w:t>
      </w:r>
      <w:r w:rsidRPr="00235C4D">
        <w:rPr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Послуги </w:t>
      </w:r>
      <w:proofErr w:type="spellStart"/>
      <w:r w:rsidRPr="00235C4D">
        <w:rPr>
          <w:color w:val="000000"/>
          <w:sz w:val="24"/>
          <w:szCs w:val="24"/>
          <w:bdr w:val="none" w:sz="0" w:space="0" w:color="auto" w:frame="1"/>
          <w:shd w:val="clear" w:color="auto" w:fill="FDFEFD"/>
        </w:rPr>
        <w:t>їдалень</w:t>
      </w:r>
      <w:proofErr w:type="spellEnd"/>
    </w:p>
    <w:tbl>
      <w:tblPr>
        <w:tblW w:w="4914" w:type="dxa"/>
        <w:jc w:val="center"/>
        <w:tblLayout w:type="fixed"/>
        <w:tblLook w:val="01E0" w:firstRow="1" w:lastRow="1" w:firstColumn="1" w:lastColumn="1" w:noHBand="0" w:noVBand="0"/>
      </w:tblPr>
      <w:tblGrid>
        <w:gridCol w:w="4914"/>
      </w:tblGrid>
      <w:tr w:rsidR="00846780" w:rsidRPr="00235C4D" w14:paraId="0FF9D6F1" w14:textId="77777777" w:rsidTr="00C10349">
        <w:trPr>
          <w:trHeight w:val="446"/>
          <w:jc w:val="center"/>
        </w:trPr>
        <w:tc>
          <w:tcPr>
            <w:tcW w:w="4914" w:type="dxa"/>
          </w:tcPr>
          <w:p w14:paraId="0565083E" w14:textId="6A85F454" w:rsidR="00846780" w:rsidRPr="00235C4D" w:rsidRDefault="00846780" w:rsidP="00266956">
            <w:pPr>
              <w:tabs>
                <w:tab w:val="left" w:pos="509"/>
                <w:tab w:val="left" w:pos="5687"/>
                <w:tab w:val="left" w:pos="6102"/>
              </w:tabs>
              <w:ind w:left="37"/>
              <w:jc w:val="center"/>
              <w:rPr>
                <w:sz w:val="24"/>
                <w:szCs w:val="24"/>
              </w:rPr>
            </w:pPr>
            <w:r w:rsidRPr="00235C4D">
              <w:rPr>
                <w:sz w:val="24"/>
                <w:szCs w:val="24"/>
              </w:rPr>
              <w:t xml:space="preserve">Оголошення </w:t>
            </w:r>
            <w:hyperlink r:id="rId5" w:tgtFrame="_blank" w:tooltip="Оголошення на порталі Уповноваженого органу" w:history="1">
              <w:r w:rsidRPr="00235C4D">
                <w:rPr>
                  <w:color w:val="000000"/>
                  <w:sz w:val="24"/>
                  <w:szCs w:val="24"/>
                  <w:u w:val="single"/>
                  <w:bdr w:val="none" w:sz="0" w:space="0" w:color="auto" w:frame="1"/>
                </w:rPr>
                <w:br/>
              </w:r>
              <w:r w:rsidRPr="00235C4D">
                <w:rPr>
                  <w:rStyle w:val="js-apiid"/>
                  <w:color w:val="000000"/>
                  <w:sz w:val="24"/>
                  <w:szCs w:val="24"/>
                  <w:u w:val="single"/>
                  <w:bdr w:val="none" w:sz="0" w:space="0" w:color="auto" w:frame="1"/>
                </w:rPr>
                <w:t>UA-2023-06-02-011715-a</w:t>
              </w:r>
            </w:hyperlink>
          </w:p>
        </w:tc>
      </w:tr>
    </w:tbl>
    <w:p w14:paraId="7EB799AA" w14:textId="77777777" w:rsidR="00846780" w:rsidRPr="00235C4D" w:rsidRDefault="00846780" w:rsidP="00846780">
      <w:pPr>
        <w:ind w:right="707"/>
        <w:jc w:val="center"/>
        <w:rPr>
          <w:sz w:val="24"/>
          <w:szCs w:val="24"/>
        </w:rPr>
      </w:pPr>
      <w:r w:rsidRPr="00235C4D">
        <w:rPr>
          <w:sz w:val="24"/>
          <w:szCs w:val="24"/>
        </w:rPr>
        <w:t xml:space="preserve">           за процедурою – відкриті торги з особливостями</w:t>
      </w:r>
    </w:p>
    <w:p w14:paraId="40127171" w14:textId="77777777" w:rsidR="00266956" w:rsidRDefault="00266956" w:rsidP="007C21B0">
      <w:pPr>
        <w:widowControl w:val="0"/>
        <w:jc w:val="center"/>
        <w:rPr>
          <w:b/>
          <w:sz w:val="24"/>
          <w:szCs w:val="24"/>
          <w:shd w:val="clear" w:color="auto" w:fill="FFFFFF"/>
        </w:rPr>
      </w:pPr>
    </w:p>
    <w:p w14:paraId="7CA6834A" w14:textId="29C9DC3A" w:rsidR="00E60CB4" w:rsidRPr="00247FFE" w:rsidRDefault="00E60CB4" w:rsidP="007C21B0">
      <w:pPr>
        <w:widowControl w:val="0"/>
        <w:jc w:val="center"/>
        <w:rPr>
          <w:bCs/>
          <w:sz w:val="24"/>
          <w:szCs w:val="24"/>
          <w:shd w:val="clear" w:color="auto" w:fill="FFFFFF"/>
          <w:lang w:val="ru-RU"/>
        </w:rPr>
      </w:pPr>
      <w:r w:rsidRPr="00247FFE">
        <w:rPr>
          <w:bCs/>
          <w:sz w:val="24"/>
          <w:szCs w:val="24"/>
          <w:shd w:val="clear" w:color="auto" w:fill="FFFFFF"/>
        </w:rPr>
        <w:t>Перелік змін, що вносяться</w:t>
      </w:r>
      <w:r w:rsidR="00846780" w:rsidRPr="00247FFE">
        <w:rPr>
          <w:bCs/>
          <w:sz w:val="24"/>
          <w:szCs w:val="24"/>
          <w:shd w:val="clear" w:color="auto" w:fill="FFFFFF"/>
          <w:lang w:val="ru-RU"/>
        </w:rPr>
        <w:t>:</w:t>
      </w:r>
    </w:p>
    <w:p w14:paraId="1B07A865" w14:textId="69DBA15A" w:rsidR="00460005" w:rsidRPr="00266956" w:rsidRDefault="009D3DF7" w:rsidP="00266956">
      <w:pPr>
        <w:widowControl w:val="0"/>
        <w:jc w:val="both"/>
        <w:rPr>
          <w:sz w:val="24"/>
          <w:szCs w:val="24"/>
        </w:rPr>
      </w:pPr>
      <w:r w:rsidRPr="00266956">
        <w:rPr>
          <w:sz w:val="24"/>
          <w:szCs w:val="24"/>
        </w:rPr>
        <w:t xml:space="preserve"> </w:t>
      </w:r>
    </w:p>
    <w:p w14:paraId="1620171F" w14:textId="77777777" w:rsidR="00846780" w:rsidRPr="00235C4D" w:rsidRDefault="00846780" w:rsidP="00846780">
      <w:pPr>
        <w:pStyle w:val="a5"/>
        <w:widowControl w:val="0"/>
        <w:jc w:val="both"/>
        <w:rPr>
          <w:sz w:val="24"/>
          <w:szCs w:val="24"/>
        </w:rPr>
      </w:pPr>
    </w:p>
    <w:p w14:paraId="5B4E9446" w14:textId="2DB4F962" w:rsidR="00E60CB4" w:rsidRDefault="00247FFE" w:rsidP="00247FFE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В </w:t>
      </w:r>
      <w:proofErr w:type="spellStart"/>
      <w:r>
        <w:rPr>
          <w:b/>
          <w:sz w:val="24"/>
          <w:szCs w:val="24"/>
          <w:lang w:val="ru-RU"/>
        </w:rPr>
        <w:t>Додатку</w:t>
      </w:r>
      <w:proofErr w:type="spellEnd"/>
      <w:r>
        <w:rPr>
          <w:b/>
          <w:sz w:val="24"/>
          <w:szCs w:val="24"/>
          <w:lang w:val="ru-RU"/>
        </w:rPr>
        <w:t xml:space="preserve"> № 3 до </w:t>
      </w:r>
      <w:proofErr w:type="spellStart"/>
      <w:r>
        <w:rPr>
          <w:b/>
          <w:sz w:val="24"/>
          <w:szCs w:val="24"/>
          <w:lang w:val="ru-RU"/>
        </w:rPr>
        <w:t>тендерн</w:t>
      </w:r>
      <w:r>
        <w:rPr>
          <w:b/>
          <w:sz w:val="24"/>
          <w:szCs w:val="24"/>
        </w:rPr>
        <w:t>ої</w:t>
      </w:r>
      <w:proofErr w:type="spellEnd"/>
      <w:r>
        <w:rPr>
          <w:b/>
          <w:sz w:val="24"/>
          <w:szCs w:val="24"/>
        </w:rPr>
        <w:t xml:space="preserve"> документації (Технічні умови) три останні абзаци тексту з вимогами видалені</w:t>
      </w:r>
      <w:r w:rsidR="00EF1212">
        <w:rPr>
          <w:b/>
          <w:sz w:val="24"/>
          <w:szCs w:val="24"/>
        </w:rPr>
        <w:t>, а саме:</w:t>
      </w:r>
    </w:p>
    <w:p w14:paraId="0E648E7D" w14:textId="77777777" w:rsidR="00EF1212" w:rsidRDefault="00EF1212" w:rsidP="00247FFE">
      <w:pPr>
        <w:widowControl w:val="0"/>
        <w:rPr>
          <w:b/>
          <w:sz w:val="24"/>
          <w:szCs w:val="24"/>
        </w:rPr>
      </w:pPr>
    </w:p>
    <w:p w14:paraId="2E405DFF" w14:textId="77777777" w:rsidR="00EF1212" w:rsidRPr="00EF1212" w:rsidRDefault="00EF1212" w:rsidP="00EF1212">
      <w:pPr>
        <w:ind w:left="-45" w:firstLine="753"/>
        <w:jc w:val="both"/>
        <w:rPr>
          <w:strike/>
          <w:sz w:val="24"/>
          <w:szCs w:val="24"/>
        </w:rPr>
      </w:pPr>
      <w:r w:rsidRPr="00EF1212">
        <w:rPr>
          <w:strike/>
          <w:sz w:val="24"/>
          <w:szCs w:val="24"/>
        </w:rPr>
        <w:t xml:space="preserve">"У складі пропозиції учасник повинен надати письмове підтвердження своєї згоди з усіма технічними вимогами зазначеними в цьому додатку, а також з іншими документами, зразки яких наведені у інших додатках до тендерної документації. У тому числі Замовник вимагає від Учасників гарантійного листа про забезпечення можливості доступу Відповідальної особи Замовника в приміщення, де відбуватиметься приготування їжі для їх огляду на предмет відповідності кваліфікаційним критеріям та/або технічним вимогам, протягом 3-х год. з моменту надходження такої вимоги від Замовника. Замовник може скористатися своїм правом на огляд приміщень на етапі кваліфікації Учасника або в будь-який інший час протягом строку дії договору про закупівлю. </w:t>
      </w:r>
      <w:proofErr w:type="spellStart"/>
      <w:r w:rsidRPr="00EF1212">
        <w:rPr>
          <w:strike/>
          <w:sz w:val="24"/>
          <w:szCs w:val="24"/>
        </w:rPr>
        <w:t>Недопуск</w:t>
      </w:r>
      <w:proofErr w:type="spellEnd"/>
      <w:r w:rsidRPr="00EF1212">
        <w:rPr>
          <w:strike/>
          <w:sz w:val="24"/>
          <w:szCs w:val="24"/>
        </w:rPr>
        <w:t xml:space="preserve"> Учасником представника Замовника до вищезазначених приміщень на етапі кваліфікації або виявлення невідповідності приміщень вимогам законодавства, а також у разі невідповідності процесу роботи вимогам тендерної документації, буде розглядатися Замовником як невідповідність Учасника кваліфікаційним критеріям та/або технічним вимогам, що тягне за собою відхилення тендерної пропозиції такого учасника як такої, що не відповідає вимогам тендерної документації. </w:t>
      </w:r>
    </w:p>
    <w:p w14:paraId="488E96E1" w14:textId="77777777" w:rsidR="00EF1212" w:rsidRPr="00EF1212" w:rsidRDefault="00EF1212" w:rsidP="00EF1212">
      <w:pPr>
        <w:ind w:left="-45" w:firstLine="753"/>
        <w:jc w:val="both"/>
        <w:rPr>
          <w:strike/>
          <w:sz w:val="24"/>
          <w:szCs w:val="24"/>
        </w:rPr>
      </w:pPr>
      <w:r w:rsidRPr="00EF1212">
        <w:rPr>
          <w:strike/>
          <w:sz w:val="24"/>
          <w:szCs w:val="24"/>
        </w:rPr>
        <w:t xml:space="preserve">Фактом </w:t>
      </w:r>
      <w:proofErr w:type="spellStart"/>
      <w:r w:rsidRPr="00EF1212">
        <w:rPr>
          <w:strike/>
          <w:sz w:val="24"/>
          <w:szCs w:val="24"/>
        </w:rPr>
        <w:t>недопуску</w:t>
      </w:r>
      <w:proofErr w:type="spellEnd"/>
      <w:r w:rsidRPr="00EF1212">
        <w:rPr>
          <w:strike/>
          <w:sz w:val="24"/>
          <w:szCs w:val="24"/>
        </w:rPr>
        <w:t xml:space="preserve"> є Акт, складений </w:t>
      </w:r>
      <w:proofErr w:type="spellStart"/>
      <w:r w:rsidRPr="00EF1212">
        <w:rPr>
          <w:strike/>
          <w:sz w:val="24"/>
          <w:szCs w:val="24"/>
        </w:rPr>
        <w:t>комісійно</w:t>
      </w:r>
      <w:proofErr w:type="spellEnd"/>
      <w:r w:rsidRPr="00EF1212">
        <w:rPr>
          <w:strike/>
          <w:sz w:val="24"/>
          <w:szCs w:val="24"/>
        </w:rPr>
        <w:t xml:space="preserve"> (не менше 2-х осіб) представниками Замовника та направлений Учаснику/виконавцю у день складання на один із зазначених Учасником/виконавцем засобів зв’язку. </w:t>
      </w:r>
    </w:p>
    <w:p w14:paraId="6EF7A67C" w14:textId="7662D4E7" w:rsidR="00EF1212" w:rsidRPr="00EF1212" w:rsidRDefault="00EF1212" w:rsidP="00EF1212">
      <w:pPr>
        <w:ind w:left="-45" w:firstLine="753"/>
        <w:jc w:val="both"/>
        <w:rPr>
          <w:sz w:val="24"/>
          <w:szCs w:val="24"/>
        </w:rPr>
      </w:pPr>
      <w:r w:rsidRPr="00EF1212">
        <w:rPr>
          <w:strike/>
          <w:sz w:val="24"/>
          <w:szCs w:val="24"/>
        </w:rPr>
        <w:t xml:space="preserve">Для уникнення непорозумінь в частині відповідності </w:t>
      </w:r>
      <w:proofErr w:type="spellStart"/>
      <w:r w:rsidRPr="00EF1212">
        <w:rPr>
          <w:strike/>
          <w:sz w:val="24"/>
          <w:szCs w:val="24"/>
        </w:rPr>
        <w:t>потужностей</w:t>
      </w:r>
      <w:proofErr w:type="spellEnd"/>
      <w:r w:rsidRPr="00EF1212">
        <w:rPr>
          <w:strike/>
          <w:sz w:val="24"/>
          <w:szCs w:val="24"/>
        </w:rPr>
        <w:t xml:space="preserve"> Учасника технічній документації, що можуть вплинути на етапі кваліфікації (відстань до Академії патрульної поліції, кількість наявних посадкових місць, місць складування для подальшого вивезення сміття, тощо) Учаснику рекомендується особисто ознайомити Замовника з наявними умовами до кінцевого терміну подачі пропозицій Учасниками</w:t>
      </w:r>
      <w:r w:rsidRPr="00EF1212">
        <w:rPr>
          <w:sz w:val="24"/>
          <w:szCs w:val="24"/>
        </w:rPr>
        <w:t>."</w:t>
      </w:r>
    </w:p>
    <w:p w14:paraId="20E98229" w14:textId="77777777" w:rsidR="00846780" w:rsidRDefault="00846780" w:rsidP="007C21B0">
      <w:pPr>
        <w:widowControl w:val="0"/>
        <w:jc w:val="center"/>
        <w:rPr>
          <w:b/>
          <w:sz w:val="24"/>
          <w:szCs w:val="24"/>
        </w:rPr>
      </w:pPr>
    </w:p>
    <w:p w14:paraId="4E540AF7" w14:textId="77777777" w:rsidR="00247FFE" w:rsidRDefault="00247FFE" w:rsidP="007C21B0">
      <w:pPr>
        <w:widowControl w:val="0"/>
        <w:jc w:val="center"/>
        <w:rPr>
          <w:b/>
          <w:sz w:val="24"/>
          <w:szCs w:val="24"/>
        </w:rPr>
      </w:pPr>
    </w:p>
    <w:p w14:paraId="66EFB8BD" w14:textId="77777777" w:rsidR="00247FFE" w:rsidRDefault="00247FFE" w:rsidP="007C21B0">
      <w:pPr>
        <w:widowControl w:val="0"/>
        <w:jc w:val="center"/>
        <w:rPr>
          <w:b/>
          <w:sz w:val="24"/>
          <w:szCs w:val="24"/>
        </w:rPr>
      </w:pPr>
    </w:p>
    <w:p w14:paraId="2FFEF6DF" w14:textId="77777777" w:rsidR="00247FFE" w:rsidRDefault="00247FFE" w:rsidP="007C21B0">
      <w:pPr>
        <w:widowControl w:val="0"/>
        <w:jc w:val="center"/>
        <w:rPr>
          <w:b/>
          <w:sz w:val="24"/>
          <w:szCs w:val="24"/>
        </w:rPr>
      </w:pPr>
    </w:p>
    <w:p w14:paraId="18E0BCCD" w14:textId="77777777" w:rsidR="00266956" w:rsidRPr="00235C4D" w:rsidRDefault="00266956" w:rsidP="007C21B0">
      <w:pPr>
        <w:widowControl w:val="0"/>
        <w:jc w:val="center"/>
        <w:rPr>
          <w:b/>
          <w:sz w:val="24"/>
          <w:szCs w:val="24"/>
        </w:rPr>
      </w:pPr>
    </w:p>
    <w:p w14:paraId="775A57EC" w14:textId="77777777" w:rsidR="00846780" w:rsidRPr="00235C4D" w:rsidRDefault="00846780" w:rsidP="007C21B0">
      <w:pPr>
        <w:widowControl w:val="0"/>
        <w:jc w:val="center"/>
        <w:rPr>
          <w:b/>
          <w:sz w:val="24"/>
          <w:szCs w:val="24"/>
        </w:rPr>
      </w:pPr>
    </w:p>
    <w:p w14:paraId="500F15DD" w14:textId="77777777" w:rsidR="00846780" w:rsidRPr="00235C4D" w:rsidRDefault="00846780" w:rsidP="00846780">
      <w:pPr>
        <w:tabs>
          <w:tab w:val="left" w:pos="6210"/>
          <w:tab w:val="left" w:pos="6465"/>
        </w:tabs>
        <w:rPr>
          <w:b/>
          <w:i/>
          <w:sz w:val="24"/>
          <w:szCs w:val="24"/>
        </w:rPr>
      </w:pPr>
      <w:r w:rsidRPr="00235C4D">
        <w:rPr>
          <w:b/>
          <w:i/>
          <w:sz w:val="24"/>
          <w:szCs w:val="24"/>
        </w:rPr>
        <w:t xml:space="preserve">Уповноважена особа </w:t>
      </w:r>
    </w:p>
    <w:p w14:paraId="6DC6AACE" w14:textId="15A4298F" w:rsidR="00846780" w:rsidRPr="00235C4D" w:rsidRDefault="00846780" w:rsidP="00846780">
      <w:pPr>
        <w:tabs>
          <w:tab w:val="left" w:pos="6210"/>
          <w:tab w:val="left" w:pos="6465"/>
        </w:tabs>
        <w:rPr>
          <w:b/>
          <w:i/>
          <w:sz w:val="24"/>
          <w:szCs w:val="24"/>
        </w:rPr>
      </w:pPr>
      <w:r w:rsidRPr="00235C4D">
        <w:rPr>
          <w:b/>
          <w:i/>
          <w:sz w:val="24"/>
          <w:szCs w:val="24"/>
        </w:rPr>
        <w:t xml:space="preserve">                                                                  </w:t>
      </w:r>
      <w:r w:rsidRPr="00235C4D">
        <w:rPr>
          <w:b/>
          <w:i/>
          <w:sz w:val="24"/>
          <w:szCs w:val="24"/>
          <w:lang w:val="ru-RU"/>
        </w:rPr>
        <w:t xml:space="preserve">                                </w:t>
      </w:r>
      <w:r w:rsidR="00235C4D">
        <w:rPr>
          <w:b/>
          <w:i/>
          <w:sz w:val="24"/>
          <w:szCs w:val="24"/>
          <w:lang w:val="ru-RU"/>
        </w:rPr>
        <w:t xml:space="preserve">  </w:t>
      </w:r>
      <w:r w:rsidRPr="00235C4D">
        <w:rPr>
          <w:b/>
          <w:i/>
          <w:sz w:val="24"/>
          <w:szCs w:val="24"/>
          <w:lang w:val="ru-RU"/>
        </w:rPr>
        <w:t xml:space="preserve">                         </w:t>
      </w:r>
      <w:r w:rsidRPr="00235C4D">
        <w:rPr>
          <w:b/>
          <w:i/>
          <w:sz w:val="24"/>
          <w:szCs w:val="24"/>
        </w:rPr>
        <w:t xml:space="preserve"> Лавриненко А.В.</w:t>
      </w:r>
    </w:p>
    <w:p w14:paraId="799393C6" w14:textId="77777777" w:rsidR="00846780" w:rsidRPr="00235C4D" w:rsidRDefault="00846780" w:rsidP="00846780">
      <w:pPr>
        <w:tabs>
          <w:tab w:val="left" w:pos="6210"/>
          <w:tab w:val="left" w:pos="6465"/>
        </w:tabs>
        <w:rPr>
          <w:b/>
          <w:i/>
          <w:sz w:val="24"/>
          <w:szCs w:val="24"/>
        </w:rPr>
      </w:pPr>
    </w:p>
    <w:p w14:paraId="2D990559" w14:textId="77777777" w:rsidR="00846780" w:rsidRPr="00235C4D" w:rsidRDefault="00846780" w:rsidP="00846780">
      <w:pPr>
        <w:tabs>
          <w:tab w:val="left" w:pos="6210"/>
          <w:tab w:val="left" w:pos="6465"/>
        </w:tabs>
        <w:rPr>
          <w:b/>
          <w:i/>
          <w:sz w:val="24"/>
          <w:szCs w:val="24"/>
        </w:rPr>
      </w:pPr>
    </w:p>
    <w:p w14:paraId="626EE8E4" w14:textId="77777777" w:rsidR="00846780" w:rsidRPr="00235C4D" w:rsidRDefault="00846780" w:rsidP="00846780">
      <w:pPr>
        <w:tabs>
          <w:tab w:val="left" w:pos="6210"/>
          <w:tab w:val="left" w:pos="6465"/>
        </w:tabs>
        <w:rPr>
          <w:b/>
          <w:i/>
          <w:sz w:val="24"/>
          <w:szCs w:val="24"/>
        </w:rPr>
      </w:pPr>
    </w:p>
    <w:p w14:paraId="796C6FEF" w14:textId="77777777" w:rsidR="00846780" w:rsidRPr="00235C4D" w:rsidRDefault="00846780" w:rsidP="007C21B0">
      <w:pPr>
        <w:widowControl w:val="0"/>
        <w:jc w:val="center"/>
        <w:rPr>
          <w:b/>
          <w:sz w:val="24"/>
          <w:szCs w:val="24"/>
        </w:rPr>
      </w:pPr>
    </w:p>
    <w:sectPr w:rsidR="00846780" w:rsidRPr="0023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B5204"/>
    <w:multiLevelType w:val="hybridMultilevel"/>
    <w:tmpl w:val="4B44FC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72DD4"/>
    <w:multiLevelType w:val="hybridMultilevel"/>
    <w:tmpl w:val="E8442E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940280">
    <w:abstractNumId w:val="1"/>
  </w:num>
  <w:num w:numId="2" w16cid:durableId="28037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B0"/>
    <w:rsid w:val="000B0C7C"/>
    <w:rsid w:val="00235C4D"/>
    <w:rsid w:val="00247FFE"/>
    <w:rsid w:val="00266956"/>
    <w:rsid w:val="002E1F8B"/>
    <w:rsid w:val="00460005"/>
    <w:rsid w:val="005354DD"/>
    <w:rsid w:val="006627D3"/>
    <w:rsid w:val="007C21B0"/>
    <w:rsid w:val="00846780"/>
    <w:rsid w:val="009D3DF7"/>
    <w:rsid w:val="009E3C09"/>
    <w:rsid w:val="00A92700"/>
    <w:rsid w:val="00DD4F96"/>
    <w:rsid w:val="00E367A1"/>
    <w:rsid w:val="00E60CB4"/>
    <w:rsid w:val="00EF1212"/>
    <w:rsid w:val="00F6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6BD8"/>
  <w15:chartTrackingRefBased/>
  <w15:docId w15:val="{23EF8343-B688-4D29-9FD4-CE5E8E59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9">
    <w:name w:val="19"/>
    <w:basedOn w:val="a1"/>
    <w:rsid w:val="007C2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3">
    <w:name w:val="No Spacing"/>
    <w:uiPriority w:val="1"/>
    <w:qFormat/>
    <w:rsid w:val="007C21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ru-RU" w:eastAsia="ru-RU"/>
    </w:rPr>
  </w:style>
  <w:style w:type="table" w:styleId="a4">
    <w:name w:val="Table Grid"/>
    <w:basedOn w:val="a1"/>
    <w:uiPriority w:val="39"/>
    <w:rsid w:val="007C2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60005"/>
    <w:pPr>
      <w:ind w:left="720"/>
      <w:contextualSpacing/>
    </w:pPr>
  </w:style>
  <w:style w:type="paragraph" w:customStyle="1" w:styleId="rvps2">
    <w:name w:val="rvps2"/>
    <w:basedOn w:val="a"/>
    <w:rsid w:val="00F6193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1F8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E1F8B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js-apiid">
    <w:name w:val="js-apiid"/>
    <w:basedOn w:val="a0"/>
    <w:rsid w:val="00846780"/>
  </w:style>
  <w:style w:type="character" w:customStyle="1" w:styleId="time">
    <w:name w:val="time"/>
    <w:basedOn w:val="a0"/>
    <w:rsid w:val="00EF1212"/>
  </w:style>
  <w:style w:type="character" w:customStyle="1" w:styleId="i18n">
    <w:name w:val="i18n"/>
    <w:basedOn w:val="a0"/>
    <w:rsid w:val="00EF121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12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Початок форми Знак"/>
    <w:basedOn w:val="a0"/>
    <w:link w:val="z-"/>
    <w:uiPriority w:val="99"/>
    <w:semiHidden/>
    <w:rsid w:val="00EF1212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121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інець форми Знак"/>
    <w:basedOn w:val="a0"/>
    <w:link w:val="z-1"/>
    <w:uiPriority w:val="99"/>
    <w:semiHidden/>
    <w:rsid w:val="00EF1212"/>
    <w:rPr>
      <w:rFonts w:ascii="Arial" w:eastAsia="Times New Roman" w:hAnsi="Arial" w:cs="Arial"/>
      <w:vanish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5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6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7475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7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02-01171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1692</Words>
  <Characters>966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Чайковська Світлана Сергіївна</dc:creator>
  <cp:keywords/>
  <dc:description/>
  <cp:lastModifiedBy>User</cp:lastModifiedBy>
  <cp:revision>5</cp:revision>
  <cp:lastPrinted>2023-06-08T06:59:00Z</cp:lastPrinted>
  <dcterms:created xsi:type="dcterms:W3CDTF">2023-06-08T13:17:00Z</dcterms:created>
  <dcterms:modified xsi:type="dcterms:W3CDTF">2023-06-08T15:09:00Z</dcterms:modified>
</cp:coreProperties>
</file>