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41A5" w14:textId="77777777"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8F5F75">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8F5F75">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4B18B351" w14:textId="0F3BAEEB" w:rsidR="00A61859" w:rsidRPr="007A0968" w:rsidRDefault="00F86586" w:rsidP="008F5F75">
      <w:pPr>
        <w:spacing w:after="0" w:line="264"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с</w:t>
      </w:r>
      <w:r w:rsidR="00A61859" w:rsidRPr="007A0968">
        <w:rPr>
          <w:rFonts w:ascii="Times New Roman" w:hAnsi="Times New Roman" w:cs="Times New Roman"/>
          <w:b/>
          <w:bCs/>
          <w:sz w:val="24"/>
          <w:szCs w:val="24"/>
        </w:rPr>
        <w:t>м</w:t>
      </w:r>
      <w:r>
        <w:rPr>
          <w:rFonts w:ascii="Times New Roman" w:hAnsi="Times New Roman" w:cs="Times New Roman"/>
          <w:b/>
          <w:bCs/>
          <w:sz w:val="24"/>
          <w:szCs w:val="24"/>
        </w:rPr>
        <w:t>т</w:t>
      </w:r>
      <w:bookmarkStart w:id="0" w:name="_GoBack"/>
      <w:bookmarkEnd w:id="0"/>
      <w:r w:rsidR="00A61859" w:rsidRPr="007A0968">
        <w:rPr>
          <w:rFonts w:ascii="Times New Roman" w:hAnsi="Times New Roman" w:cs="Times New Roman"/>
          <w:b/>
          <w:bCs/>
          <w:sz w:val="24"/>
          <w:szCs w:val="24"/>
        </w:rPr>
        <w:t xml:space="preserve">. </w:t>
      </w:r>
      <w:r w:rsidR="006B1BFB">
        <w:rPr>
          <w:rFonts w:ascii="Times New Roman" w:hAnsi="Times New Roman" w:cs="Times New Roman"/>
          <w:b/>
          <w:bCs/>
          <w:sz w:val="24"/>
          <w:szCs w:val="24"/>
        </w:rPr>
        <w:t>_________</w:t>
      </w:r>
      <w:r w:rsidR="00A61859"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00A61859" w:rsidRPr="007A0968">
        <w:rPr>
          <w:rFonts w:ascii="Times New Roman" w:hAnsi="Times New Roman" w:cs="Times New Roman"/>
          <w:b/>
          <w:bCs/>
          <w:sz w:val="24"/>
          <w:szCs w:val="24"/>
        </w:rPr>
        <w:t xml:space="preserve"> року</w:t>
      </w:r>
    </w:p>
    <w:p w14:paraId="11472A78" w14:textId="063617CF" w:rsidR="00CE34FB" w:rsidRPr="007A0968" w:rsidRDefault="006B1BFB" w:rsidP="008F5F75">
      <w:pPr>
        <w:snapToGrid w:val="0"/>
        <w:spacing w:after="0" w:line="264" w:lineRule="auto"/>
        <w:jc w:val="both"/>
        <w:rPr>
          <w:rFonts w:ascii="Times New Roman" w:hAnsi="Times New Roman" w:cs="Times New Roman"/>
          <w:sz w:val="24"/>
          <w:szCs w:val="24"/>
        </w:rPr>
      </w:pPr>
      <w:r>
        <w:rPr>
          <w:rFonts w:ascii="Times New Roman" w:hAnsi="Times New Roman" w:cs="Times New Roman"/>
          <w:b/>
          <w:bCs/>
          <w:sz w:val="24"/>
          <w:szCs w:val="24"/>
        </w:rPr>
        <w:t>_____________________</w:t>
      </w:r>
      <w:r w:rsidR="00A61859" w:rsidRPr="007A0968">
        <w:rPr>
          <w:rFonts w:ascii="Times New Roman" w:hAnsi="Times New Roman" w:cs="Times New Roman"/>
          <w:sz w:val="24"/>
          <w:szCs w:val="24"/>
        </w:rPr>
        <w:t xml:space="preserve">, в особі </w:t>
      </w:r>
      <w:r>
        <w:rPr>
          <w:rFonts w:ascii="Times New Roman" w:hAnsi="Times New Roman" w:cs="Times New Roman"/>
          <w:sz w:val="24"/>
          <w:szCs w:val="24"/>
        </w:rPr>
        <w:t>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25C8D34F" w:rsidR="00A10751" w:rsidRPr="007A0968" w:rsidRDefault="00A33C9F" w:rsidP="008F5F75">
            <w:pPr>
              <w:spacing w:after="0" w:line="264"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w:t>
            </w:r>
            <w:r w:rsidR="00084A73">
              <w:rPr>
                <w:rFonts w:ascii="Times New Roman" w:eastAsia="Times New Roman" w:hAnsi="Times New Roman" w:cs="Times New Roman"/>
                <w:sz w:val="24"/>
                <w:szCs w:val="24"/>
                <w:lang w:eastAsia="zh-CN"/>
              </w:rPr>
              <w:t>протягом 2023 року</w:t>
            </w:r>
            <w:r w:rsidRPr="00FB6163">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поставити Замовнику товари, зазначені в Специфікації (Додаток № 1), а Замовник - прийняти і оплатити такий товар</w:t>
            </w:r>
            <w:r w:rsidRPr="007A0968">
              <w:rPr>
                <w:rFonts w:ascii="Times New Roman" w:eastAsia="Times New Roman" w:hAnsi="Times New Roman" w:cs="Times New Roman"/>
                <w:b/>
                <w:sz w:val="24"/>
                <w:szCs w:val="24"/>
                <w:lang w:eastAsia="zh-CN"/>
              </w:rPr>
              <w:t xml:space="preserve">: </w:t>
            </w:r>
            <w:r w:rsidR="00731723" w:rsidRPr="00731723">
              <w:rPr>
                <w:rFonts w:ascii="Times New Roman" w:hAnsi="Times New Roman" w:cs="Times New Roman"/>
                <w:b/>
                <w:bCs/>
                <w:sz w:val="24"/>
                <w:szCs w:val="24"/>
              </w:rPr>
              <w:t>«код ДК 021:2015 - 44810000-1 «Фарби» (Емаль алкідна ПФ-115 зелена, Емаль алкідна ПФ-115 блакитна, Емаль алкідна ПФ-115 біла глянсова, Емаль алкідна ПФ-115 жовта, Емаль алкідна ПФ-115 сіра, Емаль алкідна ПФ-115 чорна, Емаль алкідна ПФ-115 червона, Емаль алкідна ПФ-115 синя, Емаль алкідна ПФ-115 салатова, Емаль алкідна ПФ-115 оранжева, Емаль алкідна ПФ-115 фіолетова, Емаль алкідна ПФ-115 вишнева, Емаль алкідна ПФ-115 темно-коричнева, Лак яхтовий алкідно-уретановий глянсовий, Емаль алкідна ПФ-266 жовто-коричнева, Емаль алкідна ПФ-266 червоно-коричнева, Фарба латексна акрилова для стін та стель»</w:t>
            </w:r>
            <w:r w:rsidR="00F06DA6" w:rsidRPr="007A0968">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129C6263"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2.2. Товар, що постачається, повинен мати необхідні </w:t>
            </w:r>
            <w:r w:rsidR="005F087D">
              <w:rPr>
                <w:rFonts w:ascii="Times New Roman" w:hAnsi="Times New Roman"/>
                <w:sz w:val="24"/>
                <w:szCs w:val="24"/>
              </w:rPr>
              <w:t xml:space="preserve">документи, що </w:t>
            </w:r>
            <w:r w:rsidR="00FB6163">
              <w:rPr>
                <w:rFonts w:ascii="Times New Roman" w:hAnsi="Times New Roman"/>
                <w:sz w:val="24"/>
                <w:szCs w:val="24"/>
              </w:rPr>
              <w:t>посвідчують</w:t>
            </w:r>
            <w:r w:rsidR="005F087D">
              <w:rPr>
                <w:rFonts w:ascii="Times New Roman" w:hAnsi="Times New Roman"/>
                <w:sz w:val="24"/>
                <w:szCs w:val="24"/>
              </w:rPr>
              <w:t xml:space="preserve"> якість товару</w:t>
            </w:r>
            <w:r w:rsidRPr="007A0968">
              <w:rPr>
                <w:rFonts w:ascii="Times New Roman" w:hAnsi="Times New Roman" w:cs="Times New Roman"/>
                <w:sz w:val="24"/>
                <w:szCs w:val="24"/>
              </w:rPr>
              <w:t>.</w:t>
            </w:r>
          </w:p>
          <w:p w14:paraId="35141510" w14:textId="77777777"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5998CF05" w:rsidR="00A10751" w:rsidRPr="007A0968" w:rsidRDefault="00A10751"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w:t>
            </w:r>
            <w:r w:rsidR="005F087D">
              <w:rPr>
                <w:rFonts w:ascii="Times New Roman" w:hAnsi="Times New Roman" w:cs="Times New Roman"/>
                <w:sz w:val="24"/>
                <w:szCs w:val="24"/>
              </w:rPr>
              <w:t>1</w:t>
            </w:r>
            <w:r w:rsidRPr="007A0968">
              <w:rPr>
                <w:rFonts w:ascii="Times New Roman" w:hAnsi="Times New Roman" w:cs="Times New Roman"/>
                <w:sz w:val="24"/>
                <w:szCs w:val="24"/>
              </w:rPr>
              <w:t xml:space="preserve"> календарн</w:t>
            </w:r>
            <w:r w:rsidR="005F087D">
              <w:rPr>
                <w:rFonts w:ascii="Times New Roman" w:hAnsi="Times New Roman" w:cs="Times New Roman"/>
                <w:sz w:val="24"/>
                <w:szCs w:val="24"/>
              </w:rPr>
              <w:t>ого</w:t>
            </w:r>
            <w:r w:rsidRPr="007A0968">
              <w:rPr>
                <w:rFonts w:ascii="Times New Roman" w:hAnsi="Times New Roman" w:cs="Times New Roman"/>
                <w:sz w:val="24"/>
                <w:szCs w:val="24"/>
              </w:rPr>
              <w:t xml:space="preserve"> </w:t>
            </w:r>
            <w:r w:rsidR="005F087D">
              <w:rPr>
                <w:rFonts w:ascii="Times New Roman" w:hAnsi="Times New Roman" w:cs="Times New Roman"/>
                <w:sz w:val="24"/>
                <w:szCs w:val="24"/>
              </w:rPr>
              <w:t>дня</w:t>
            </w:r>
            <w:r w:rsidRPr="007A0968">
              <w:rPr>
                <w:rFonts w:ascii="Times New Roman" w:hAnsi="Times New Roman" w:cs="Times New Roman"/>
                <w:sz w:val="24"/>
                <w:szCs w:val="24"/>
              </w:rPr>
              <w:t>. Всі витрати пов’язані із заміною товару неналежної якості несе Постачальник.</w:t>
            </w:r>
          </w:p>
          <w:p w14:paraId="79F6F400" w14:textId="1054C6CA" w:rsidR="00A10751" w:rsidRPr="007A0968" w:rsidRDefault="00A10751" w:rsidP="008F5F75">
            <w:pPr>
              <w:spacing w:after="0" w:line="264"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5F087D">
              <w:rPr>
                <w:rFonts w:ascii="Times New Roman" w:hAnsi="Times New Roman" w:cs="Times New Roman"/>
                <w:sz w:val="24"/>
                <w:szCs w:val="24"/>
              </w:rPr>
              <w:t>5</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p>
        </w:tc>
      </w:tr>
    </w:tbl>
    <w:p w14:paraId="428AF4D1"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A83408"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8F5F75">
            <w:pPr>
              <w:pStyle w:val="a5"/>
              <w:spacing w:line="264" w:lineRule="auto"/>
              <w:rPr>
                <w:rFonts w:ascii="Times New Roman" w:hAnsi="Times New Roman" w:cs="Times New Roman"/>
                <w:sz w:val="24"/>
                <w:szCs w:val="24"/>
              </w:rPr>
            </w:pPr>
            <w:r w:rsidRPr="007A0968">
              <w:rPr>
                <w:rFonts w:ascii="Times New Roman" w:hAnsi="Times New Roman" w:cs="Times New Roman"/>
                <w:sz w:val="24"/>
                <w:szCs w:val="24"/>
              </w:rPr>
              <w:lastRenderedPageBreak/>
              <w:t>- строк дії договору.</w:t>
            </w:r>
          </w:p>
          <w:p w14:paraId="54930777" w14:textId="215CF8C8" w:rsidR="00F26A95" w:rsidRPr="00F26A95" w:rsidRDefault="00F06DA6" w:rsidP="008F5F75">
            <w:pPr>
              <w:spacing w:after="0" w:line="264" w:lineRule="auto"/>
              <w:jc w:val="both"/>
              <w:rPr>
                <w:rFonts w:ascii="Times New Roman" w:hAnsi="Times New Roman" w:cs="Times New Roman"/>
                <w:spacing w:val="-1"/>
                <w:sz w:val="24"/>
                <w:szCs w:val="24"/>
              </w:rPr>
            </w:pPr>
            <w:r w:rsidRPr="007A0968">
              <w:rPr>
                <w:rFonts w:ascii="Times New Roman" w:hAnsi="Times New Roman" w:cs="Times New Roman"/>
                <w:spacing w:val="-1"/>
                <w:sz w:val="24"/>
                <w:szCs w:val="24"/>
              </w:rPr>
              <w:t xml:space="preserve">3.5. </w:t>
            </w:r>
            <w:r w:rsidR="00F26A95" w:rsidRPr="00F26A95">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w:t>
            </w:r>
            <w:r w:rsidR="00731723">
              <w:rPr>
                <w:rFonts w:ascii="Times New Roman" w:hAnsi="Times New Roman" w:cs="Times New Roman"/>
                <w:spacing w:val="-1"/>
                <w:sz w:val="24"/>
                <w:szCs w:val="24"/>
              </w:rPr>
              <w:t xml:space="preserve">згідно </w:t>
            </w:r>
            <w:r w:rsidR="00F26A95" w:rsidRPr="00F26A95">
              <w:rPr>
                <w:rFonts w:ascii="Times New Roman" w:hAnsi="Times New Roman" w:cs="Times New Roman"/>
                <w:spacing w:val="-1"/>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792410A" w14:textId="77777777"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1) Зменшення обсягів закупівлі, зокрема з урахуванням фактичного обсягу видатків замовника. </w:t>
            </w:r>
            <w:r w:rsidRPr="00731723">
              <w:rPr>
                <w:rFonts w:ascii="Times New Roman" w:hAnsi="Times New Roman" w:cs="Times New Roman"/>
                <w:i/>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D5EA2F" w14:textId="77777777"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31723">
              <w:rPr>
                <w:rFonts w:ascii="Times New Roman" w:hAnsi="Times New Roman" w:cs="Times New Roman"/>
                <w:i/>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985E6D7" w14:textId="77777777"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31723">
              <w:rPr>
                <w:rFonts w:ascii="Times New Roman" w:hAnsi="Times New Roman" w:cs="Times New Roman"/>
                <w:i/>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0F590CF" w14:textId="5A7FCC4C"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4) Продовження строку дії договору про закупівлю та</w:t>
            </w:r>
            <w:r w:rsidR="00084A73">
              <w:rPr>
                <w:rFonts w:ascii="Times New Roman" w:hAnsi="Times New Roman" w:cs="Times New Roman"/>
                <w:spacing w:val="-1"/>
                <w:sz w:val="24"/>
                <w:szCs w:val="24"/>
                <w:lang w:val="en-US"/>
              </w:rPr>
              <w:t>/</w:t>
            </w:r>
            <w:r w:rsidR="00084A73">
              <w:rPr>
                <w:rFonts w:ascii="Times New Roman" w:hAnsi="Times New Roman" w:cs="Times New Roman"/>
                <w:spacing w:val="-1"/>
                <w:sz w:val="24"/>
                <w:szCs w:val="24"/>
              </w:rPr>
              <w:t>або</w:t>
            </w:r>
            <w:r w:rsidRPr="00F26A95">
              <w:rPr>
                <w:rFonts w:ascii="Times New Roman" w:hAnsi="Times New Roman" w:cs="Times New Roman"/>
                <w:spacing w:val="-1"/>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31723">
              <w:rPr>
                <w:rFonts w:ascii="Times New Roman" w:hAnsi="Times New Roman" w:cs="Times New Roman"/>
                <w:i/>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7C132B6" w14:textId="77777777"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731723">
              <w:rPr>
                <w:rFonts w:ascii="Times New Roman" w:hAnsi="Times New Roman" w:cs="Times New Roman"/>
                <w:i/>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39C33DF8" w14:textId="77777777"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731723">
              <w:rPr>
                <w:rFonts w:ascii="Times New Roman" w:hAnsi="Times New Roman" w:cs="Times New Roman"/>
                <w:i/>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22D225F" w14:textId="77777777" w:rsidR="00F26A95" w:rsidRPr="00731723" w:rsidRDefault="00F26A95" w:rsidP="008F5F75">
            <w:pPr>
              <w:spacing w:after="0" w:line="264" w:lineRule="auto"/>
              <w:jc w:val="both"/>
              <w:rPr>
                <w:rFonts w:ascii="Times New Roman" w:hAnsi="Times New Roman" w:cs="Times New Roman"/>
                <w:i/>
                <w:spacing w:val="-1"/>
                <w:sz w:val="24"/>
                <w:szCs w:val="24"/>
              </w:rPr>
            </w:pPr>
            <w:r w:rsidRPr="00F26A95">
              <w:rPr>
                <w:rFonts w:ascii="Times New Roman" w:hAnsi="Times New Roman" w:cs="Times New Roman"/>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31723">
              <w:rPr>
                <w:rFonts w:ascii="Times New Roman" w:hAnsi="Times New Roman" w:cs="Times New Roman"/>
                <w:i/>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3E5EDC50" w14:textId="02D1EB60" w:rsidR="00641F70" w:rsidRPr="008F5F75" w:rsidRDefault="00F26A95" w:rsidP="008F5F75">
            <w:pPr>
              <w:spacing w:after="0" w:line="264" w:lineRule="auto"/>
              <w:jc w:val="both"/>
              <w:rPr>
                <w:rFonts w:ascii="Times New Roman" w:hAnsi="Times New Roman" w:cs="Times New Roman"/>
                <w:i/>
                <w:sz w:val="24"/>
                <w:szCs w:val="24"/>
                <w:shd w:val="clear" w:color="auto" w:fill="FFFFFF"/>
              </w:rPr>
            </w:pPr>
            <w:r w:rsidRPr="00F26A95">
              <w:rPr>
                <w:rFonts w:ascii="Times New Roman" w:hAnsi="Times New Roman" w:cs="Times New Roman"/>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31723">
              <w:rPr>
                <w:rFonts w:ascii="Times New Roman" w:hAnsi="Times New Roman" w:cs="Times New Roman"/>
                <w:i/>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14:paraId="456D45C8"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8F5F75">
            <w:pPr>
              <w:widowControl w:val="0"/>
              <w:suppressAutoHyphens/>
              <w:autoSpaceDE w:val="0"/>
              <w:spacing w:after="0" w:line="264"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1"/>
          <w:p w14:paraId="00DCF7DA" w14:textId="64EAD7B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96D49E5" w:rsidR="00A33C9F" w:rsidRPr="007A0968" w:rsidRDefault="00A33C9F" w:rsidP="005F087D">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w:t>
            </w:r>
            <w:r w:rsidR="005F087D">
              <w:rPr>
                <w:rFonts w:ascii="Times New Roman" w:eastAsia="Times New Roman" w:hAnsi="Times New Roman" w:cs="Times New Roman"/>
                <w:sz w:val="24"/>
                <w:szCs w:val="24"/>
                <w:lang w:eastAsia="zh-CN"/>
              </w:rPr>
              <w:t xml:space="preserve">сплачені, а також </w:t>
            </w:r>
            <w:r w:rsidR="005F087D" w:rsidRPr="005F087D">
              <w:rPr>
                <w:rFonts w:ascii="Times New Roman" w:eastAsia="Times New Roman" w:hAnsi="Times New Roman" w:cs="Times New Roman"/>
                <w:bCs/>
                <w:sz w:val="24"/>
                <w:szCs w:val="24"/>
                <w:lang w:eastAsia="zh-CN"/>
              </w:rPr>
              <w:t>транспортних витрат, навантажувально-розвантажувальних робіт і тари, вартість пакування, фасування та транспортні послуги</w:t>
            </w:r>
            <w:r w:rsidRPr="007A0968">
              <w:rPr>
                <w:rFonts w:ascii="Times New Roman" w:eastAsia="Times New Roman" w:hAnsi="Times New Roman" w:cs="Times New Roman"/>
                <w:sz w:val="24"/>
                <w:szCs w:val="24"/>
                <w:lang w:eastAsia="zh-CN"/>
              </w:rPr>
              <w:t>.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451BD23D" w14:textId="4BD13D3E" w:rsidR="00A33C9F" w:rsidRPr="00473F6E" w:rsidRDefault="00534DD6" w:rsidP="008F5F75">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 xml:space="preserve">Строк поставки </w:t>
      </w:r>
      <w:r w:rsidR="00A33C9F" w:rsidRPr="00473F6E">
        <w:rPr>
          <w:rFonts w:ascii="Times New Roman" w:eastAsia="Times New Roman" w:hAnsi="Times New Roman" w:cs="Times New Roman"/>
          <w:sz w:val="24"/>
          <w:szCs w:val="24"/>
          <w:lang w:eastAsia="zh-CN"/>
        </w:rPr>
        <w:t>товару –</w:t>
      </w:r>
      <w:r w:rsidR="00A33C9F" w:rsidRPr="00473F6E">
        <w:rPr>
          <w:rFonts w:ascii="Times New Roman" w:eastAsia="Times New Roman" w:hAnsi="Times New Roman" w:cs="Times New Roman"/>
          <w:sz w:val="24"/>
          <w:szCs w:val="24"/>
          <w:lang w:eastAsia="en-US"/>
        </w:rPr>
        <w:t xml:space="preserve"> </w:t>
      </w:r>
      <w:r w:rsidR="00A33C9F" w:rsidRPr="00473F6E">
        <w:rPr>
          <w:rFonts w:ascii="Times New Roman" w:eastAsia="Times New Roman" w:hAnsi="Times New Roman" w:cs="Times New Roman"/>
          <w:sz w:val="24"/>
          <w:szCs w:val="24"/>
          <w:lang w:eastAsia="zh-CN"/>
        </w:rPr>
        <w:t xml:space="preserve">до </w:t>
      </w:r>
      <w:r w:rsidR="00084A73">
        <w:rPr>
          <w:rFonts w:ascii="Times New Roman" w:eastAsia="Times New Roman" w:hAnsi="Times New Roman" w:cs="Times New Roman"/>
          <w:sz w:val="24"/>
          <w:szCs w:val="24"/>
          <w:lang w:eastAsia="zh-CN"/>
        </w:rPr>
        <w:t>31</w:t>
      </w:r>
      <w:r w:rsidR="00CF42E8" w:rsidRPr="00473F6E">
        <w:rPr>
          <w:rFonts w:ascii="Times New Roman" w:eastAsia="Times New Roman" w:hAnsi="Times New Roman" w:cs="Times New Roman"/>
          <w:sz w:val="24"/>
          <w:szCs w:val="24"/>
          <w:lang w:eastAsia="zh-CN"/>
        </w:rPr>
        <w:t>.</w:t>
      </w:r>
      <w:r w:rsidR="00084A73">
        <w:rPr>
          <w:rFonts w:ascii="Times New Roman" w:eastAsia="Times New Roman" w:hAnsi="Times New Roman" w:cs="Times New Roman"/>
          <w:sz w:val="24"/>
          <w:szCs w:val="24"/>
          <w:lang w:eastAsia="zh-CN"/>
        </w:rPr>
        <w:t>12</w:t>
      </w:r>
      <w:r w:rsidR="00A33C9F" w:rsidRPr="00473F6E">
        <w:rPr>
          <w:rFonts w:ascii="Times New Roman" w:eastAsia="Times New Roman" w:hAnsi="Times New Roman" w:cs="Times New Roman"/>
          <w:sz w:val="24"/>
          <w:szCs w:val="24"/>
          <w:lang w:eastAsia="zh-CN"/>
        </w:rPr>
        <w:t>.</w:t>
      </w:r>
      <w:r w:rsidR="00F675E3" w:rsidRPr="00473F6E">
        <w:rPr>
          <w:rFonts w:ascii="Times New Roman" w:eastAsia="Times New Roman" w:hAnsi="Times New Roman" w:cs="Times New Roman"/>
          <w:sz w:val="24"/>
          <w:szCs w:val="24"/>
          <w:lang w:eastAsia="zh-CN"/>
        </w:rPr>
        <w:t>202</w:t>
      </w:r>
      <w:r w:rsidR="006B1BFB" w:rsidRPr="00473F6E">
        <w:rPr>
          <w:rFonts w:ascii="Times New Roman" w:eastAsia="Times New Roman" w:hAnsi="Times New Roman" w:cs="Times New Roman"/>
          <w:sz w:val="24"/>
          <w:szCs w:val="24"/>
          <w:lang w:eastAsia="zh-CN"/>
        </w:rPr>
        <w:t>3</w:t>
      </w:r>
      <w:r w:rsidR="00A33C9F" w:rsidRPr="00473F6E">
        <w:rPr>
          <w:rFonts w:ascii="Times New Roman" w:eastAsia="Times New Roman" w:hAnsi="Times New Roman" w:cs="Times New Roman"/>
          <w:sz w:val="24"/>
          <w:szCs w:val="24"/>
          <w:lang w:eastAsia="zh-CN"/>
        </w:rPr>
        <w:t xml:space="preserve"> року.</w:t>
      </w:r>
      <w:r w:rsidR="00A33C9F" w:rsidRPr="00473F6E">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8F5F75">
      <w:pPr>
        <w:spacing w:after="0" w:line="264"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2" w:name="_Hlk55299756"/>
      <w:r w:rsidRPr="007A0968">
        <w:rPr>
          <w:rFonts w:ascii="Times New Roman" w:hAnsi="Times New Roman" w:cs="Times New Roman"/>
          <w:sz w:val="24"/>
          <w:szCs w:val="24"/>
        </w:rPr>
        <w:t>днів з моменту отримання письмової заявки від Замовника</w:t>
      </w:r>
      <w:bookmarkEnd w:id="2"/>
      <w:r w:rsidRPr="007A0968">
        <w:rPr>
          <w:rFonts w:ascii="Times New Roman" w:hAnsi="Times New Roman" w:cs="Times New Roman"/>
          <w:sz w:val="24"/>
          <w:szCs w:val="24"/>
        </w:rPr>
        <w:t>.</w:t>
      </w:r>
    </w:p>
    <w:p w14:paraId="2E3E9517" w14:textId="7BBDC7AC" w:rsidR="00A33C9F" w:rsidRPr="007A0968" w:rsidRDefault="00641F70" w:rsidP="008F5F75">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w:t>
      </w:r>
      <w:r w:rsidR="008F5F75">
        <w:rPr>
          <w:rFonts w:ascii="Times New Roman" w:eastAsia="Times New Roman" w:hAnsi="Times New Roman" w:cs="Times New Roman"/>
          <w:sz w:val="24"/>
          <w:szCs w:val="24"/>
          <w:lang w:eastAsia="zh-CN"/>
        </w:rPr>
        <w:t xml:space="preserve"> </w:t>
      </w:r>
      <w:r w:rsidR="008F5F75">
        <w:rPr>
          <w:rFonts w:ascii="Times New Roman" w:eastAsia="Times New Roman" w:hAnsi="Times New Roman" w:cs="Times New Roman"/>
          <w:sz w:val="24"/>
          <w:szCs w:val="24"/>
          <w:lang w:eastAsia="zh-CN"/>
        </w:rPr>
        <w:lastRenderedPageBreak/>
        <w:t>товару</w:t>
      </w:r>
      <w:r w:rsidRPr="007A0968">
        <w:rPr>
          <w:rFonts w:ascii="Times New Roman" w:eastAsia="Times New Roman" w:hAnsi="Times New Roman" w:cs="Times New Roman"/>
          <w:sz w:val="24"/>
          <w:szCs w:val="24"/>
          <w:lang w:eastAsia="zh-CN"/>
        </w:rPr>
        <w:t>.</w:t>
      </w:r>
    </w:p>
    <w:p w14:paraId="31EA640E" w14:textId="7057AF3B" w:rsidR="00A33C9F" w:rsidRPr="007A0968" w:rsidRDefault="00A33C9F" w:rsidP="008F5F75">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7E41BC78" w14:textId="1B2335C0" w:rsidR="00CD17C7" w:rsidRDefault="00A33C9F"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p>
    <w:p w14:paraId="30D1BEB9" w14:textId="77777777" w:rsidR="00473F6E" w:rsidRPr="008F5F75" w:rsidRDefault="00473F6E" w:rsidP="008F5F75">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p>
    <w:p w14:paraId="3AE834D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255E3C3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документації. </w:t>
            </w:r>
          </w:p>
          <w:p w14:paraId="52A1F404" w14:textId="77777777"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2723F592" w:rsidR="00A33C9F" w:rsidRPr="007A0968" w:rsidRDefault="00A33C9F" w:rsidP="008F5F75">
            <w:pPr>
              <w:suppressAutoHyphens/>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5F087D">
              <w:rPr>
                <w:rFonts w:ascii="Times New Roman" w:hAnsi="Times New Roman"/>
                <w:sz w:val="24"/>
                <w:szCs w:val="24"/>
              </w:rPr>
              <w:t>документи, що посвідчують якіть товару (паспорт якості, сертифікат відповідності тощо)</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D4C09F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6.3.5. Забезпечити надання за власний рахунок супутніх послуг таких як доставка за місцем призначен</w:t>
            </w:r>
            <w:r w:rsidR="005F087D">
              <w:rPr>
                <w:rFonts w:ascii="Times New Roman" w:eastAsia="Times New Roman" w:hAnsi="Times New Roman" w:cs="Times New Roman"/>
                <w:sz w:val="24"/>
                <w:szCs w:val="24"/>
                <w:lang w:eastAsia="zh-CN"/>
              </w:rPr>
              <w:t xml:space="preserve">ня, навантаження/розвантаження, </w:t>
            </w:r>
            <w:r w:rsidRPr="007A0968">
              <w:rPr>
                <w:rFonts w:ascii="Times New Roman" w:eastAsia="Times New Roman" w:hAnsi="Times New Roman" w:cs="Times New Roman"/>
                <w:sz w:val="24"/>
                <w:szCs w:val="24"/>
                <w:lang w:eastAsia="zh-CN"/>
              </w:rPr>
              <w:t>тощо.</w:t>
            </w:r>
          </w:p>
          <w:p w14:paraId="3C03966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302E3C4B"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714D2342" w14:textId="3C4A48E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374E800E" w14:textId="7A45491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5F087D">
              <w:rPr>
                <w:rFonts w:ascii="Times New Roman" w:eastAsia="Times New Roman" w:hAnsi="Times New Roman" w:cs="Times New Roman"/>
                <w:sz w:val="24"/>
                <w:szCs w:val="24"/>
                <w:lang w:eastAsia="zh-CN"/>
              </w:rPr>
              <w:t>10</w:t>
            </w:r>
            <w:r w:rsidRPr="007A0968">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59937446" w14:textId="6F42E15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1B36CF25"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w:t>
            </w:r>
            <w:r w:rsidR="005F087D">
              <w:rPr>
                <w:rFonts w:ascii="Times New Roman" w:eastAsia="Times New Roman" w:hAnsi="Times New Roman" w:cs="Times New Roman"/>
                <w:sz w:val="24"/>
                <w:szCs w:val="24"/>
                <w:lang w:eastAsia="zh-CN"/>
              </w:rPr>
              <w:t>одо якості поставленого Товару</w:t>
            </w:r>
            <w:r w:rsidRPr="007A0968">
              <w:rPr>
                <w:rFonts w:ascii="Times New Roman" w:eastAsia="Times New Roman" w:hAnsi="Times New Roman" w:cs="Times New Roman"/>
                <w:sz w:val="24"/>
                <w:szCs w:val="24"/>
                <w:lang w:eastAsia="zh-CN"/>
              </w:rPr>
              <w:t>,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8F5F75">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3029B67C"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6B1BFB">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7CBCEF70"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8F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4F7E9CA8" w14:textId="773AA4A7" w:rsidR="00CD44E1" w:rsidRPr="008F5F75" w:rsidRDefault="00CD44E1" w:rsidP="008F5F75">
      <w:pPr>
        <w:tabs>
          <w:tab w:val="center" w:pos="5133"/>
        </w:tabs>
        <w:spacing w:after="0" w:line="264"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8F5F75">
      <w:pPr>
        <w:widowControl w:val="0"/>
        <w:tabs>
          <w:tab w:val="left" w:pos="900"/>
        </w:tabs>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w:t>
      </w:r>
      <w:r w:rsidRPr="007A0968">
        <w:rPr>
          <w:rFonts w:ascii="Times New Roman" w:eastAsia="Times New Roman" w:hAnsi="Times New Roman" w:cs="Times New Roman"/>
          <w:sz w:val="24"/>
          <w:szCs w:val="24"/>
          <w:lang w:eastAsia="zh-CN"/>
        </w:rPr>
        <w:lastRenderedPageBreak/>
        <w:t>зобов’язань сторонами в повному обсязі, крім випадків передбачених діючим законодавством.</w:t>
      </w:r>
    </w:p>
    <w:p w14:paraId="65E08A52" w14:textId="79F8684F" w:rsidR="00A33C9F" w:rsidRPr="007A0968"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73F7F18C" w:rsidR="00A33C9F" w:rsidRPr="007A0968" w:rsidRDefault="00A33C9F" w:rsidP="008F5F75">
      <w:pPr>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28099E"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xml:space="preserve">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3820B4BA" w14:textId="1FCB9C5F" w:rsidR="00CD17C7" w:rsidRPr="008F5F75" w:rsidRDefault="00A33C9F" w:rsidP="008F5F75">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59C21996" w14:textId="57A4C8CA"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8F5F75">
            <w:pPr>
              <w:widowControl w:val="0"/>
              <w:suppressAutoHyphens/>
              <w:autoSpaceDE w:val="0"/>
              <w:spacing w:after="0" w:line="264"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8F5F75">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510BD4" w:rsidRPr="007A0968" w14:paraId="28F7090C" w14:textId="77777777" w:rsidTr="00CD44E1">
        <w:trPr>
          <w:trHeight w:val="5278"/>
        </w:trPr>
        <w:tc>
          <w:tcPr>
            <w:tcW w:w="5030" w:type="dxa"/>
            <w:shd w:val="clear" w:color="auto" w:fill="auto"/>
          </w:tcPr>
          <w:p w14:paraId="5E1692D3" w14:textId="77777777" w:rsidR="00510BD4"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230B8F2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0D7FB798" w14:textId="77777777" w:rsidR="00510BD4" w:rsidRPr="00EB4EB1" w:rsidRDefault="00510BD4" w:rsidP="00207C78">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7B2EF5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6942A55"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D28B701"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E0156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4686A8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4CC3BF3"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24B0DE"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A21B74"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03ECB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8425F2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362DD3F"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32CEAC3A"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DB20DF4"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224C499F" w14:textId="72CE1E28" w:rsidR="00510BD4" w:rsidRPr="007A0968" w:rsidRDefault="00510BD4" w:rsidP="008F5F75">
            <w:pPr>
              <w:spacing w:after="0" w:line="264" w:lineRule="auto"/>
              <w:rPr>
                <w:rFonts w:ascii="Times New Roman" w:hAnsi="Times New Roman" w:cs="Times New Roman"/>
                <w:sz w:val="24"/>
                <w:szCs w:val="24"/>
              </w:rPr>
            </w:pPr>
            <w:r w:rsidRPr="009C0AD1">
              <w:rPr>
                <w:rFonts w:ascii="Times New Roman" w:eastAsia="Arial" w:hAnsi="Times New Roman" w:cs="Times New Roman"/>
                <w:color w:val="000000"/>
                <w:sz w:val="24"/>
                <w:szCs w:val="24"/>
                <w:lang w:eastAsia="zh-CN"/>
              </w:rPr>
              <w:t xml:space="preserve">м.п.  </w:t>
            </w:r>
          </w:p>
        </w:tc>
        <w:tc>
          <w:tcPr>
            <w:tcW w:w="5030" w:type="dxa"/>
            <w:shd w:val="clear" w:color="auto" w:fill="auto"/>
          </w:tcPr>
          <w:p w14:paraId="741DD948"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3825A67A" w14:textId="77777777" w:rsidR="00510BD4" w:rsidRPr="009C0AD1" w:rsidRDefault="00510BD4" w:rsidP="00207C78">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177071D0"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FCAE3B8" w14:textId="77777777" w:rsidR="00510BD4" w:rsidRPr="009C0AD1" w:rsidRDefault="00510BD4" w:rsidP="00207C78">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358EFBA9"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95958DD"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3B2E14B"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079A6E8"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604CFA6"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19EE415"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7A0B13A"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20F260F" w14:textId="77777777" w:rsidR="00510BD4" w:rsidRPr="009C0AD1" w:rsidRDefault="00510BD4" w:rsidP="00207C78">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C4A46C8" w14:textId="77777777" w:rsidR="00084A73" w:rsidRDefault="00084A73"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6BA62860"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6067DC64" w14:textId="77777777" w:rsidR="00510BD4" w:rsidRPr="009C0AD1" w:rsidRDefault="00510BD4" w:rsidP="00207C78">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0B7EC95D" w14:textId="77777777" w:rsidR="00510BD4" w:rsidRPr="009C0AD1" w:rsidRDefault="00510BD4" w:rsidP="00207C78">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6BCEDAE" w14:textId="19FFB0E1" w:rsidR="00510BD4" w:rsidRPr="007A0968" w:rsidRDefault="00510BD4" w:rsidP="008F5F75">
            <w:pPr>
              <w:spacing w:after="0" w:line="264" w:lineRule="auto"/>
              <w:rPr>
                <w:rFonts w:ascii="Times New Roman" w:hAnsi="Times New Roman" w:cs="Times New Roman"/>
                <w:b/>
                <w:sz w:val="24"/>
                <w:szCs w:val="24"/>
              </w:rPr>
            </w:pPr>
            <w:r w:rsidRPr="009C0AD1">
              <w:rPr>
                <w:rFonts w:ascii="Times New Roman" w:eastAsia="Arial" w:hAnsi="Times New Roman" w:cs="Times New Roman"/>
                <w:color w:val="000000"/>
                <w:sz w:val="24"/>
                <w:szCs w:val="24"/>
                <w:lang w:eastAsia="zh-CN"/>
              </w:rPr>
              <w:t xml:space="preserve">м.п.  </w:t>
            </w:r>
          </w:p>
        </w:tc>
      </w:tr>
    </w:tbl>
    <w:p w14:paraId="104B6261" w14:textId="77777777" w:rsidR="00A33C9F" w:rsidRPr="007A0968" w:rsidRDefault="00A33C9F" w:rsidP="008F5F75">
      <w:pPr>
        <w:widowControl w:val="0"/>
        <w:suppressAutoHyphens/>
        <w:autoSpaceDE w:val="0"/>
        <w:spacing w:after="0" w:line="264" w:lineRule="auto"/>
        <w:rPr>
          <w:rFonts w:ascii="Times New Roman" w:eastAsia="Times New Roman" w:hAnsi="Times New Roman" w:cs="Times New Roman"/>
          <w:b/>
          <w:sz w:val="24"/>
          <w:szCs w:val="24"/>
          <w:lang w:eastAsia="zh-CN"/>
        </w:rPr>
      </w:pPr>
    </w:p>
    <w:p w14:paraId="3709EFF7" w14:textId="445B07CE" w:rsidR="00F06DA6" w:rsidRPr="007A0968" w:rsidRDefault="00F06DA6" w:rsidP="008F5F75">
      <w:pPr>
        <w:spacing w:after="0" w:line="264" w:lineRule="auto"/>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8F5F75">
      <w:pPr>
        <w:widowControl w:val="0"/>
        <w:suppressAutoHyphens/>
        <w:autoSpaceDE w:val="0"/>
        <w:spacing w:after="0" w:line="264"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8"/>
          <w:pgSz w:w="11906" w:h="16838"/>
          <w:pgMar w:top="709" w:right="707" w:bottom="851" w:left="1134" w:header="708" w:footer="81" w:gutter="0"/>
          <w:cols w:space="708"/>
          <w:docGrid w:linePitch="360"/>
        </w:sectPr>
      </w:pPr>
    </w:p>
    <w:p w14:paraId="27A83829"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lastRenderedPageBreak/>
        <w:t>Додаток №1</w:t>
      </w:r>
    </w:p>
    <w:p w14:paraId="7B7F5156" w14:textId="77777777" w:rsidR="008F5F75" w:rsidRPr="00EB4E5F" w:rsidRDefault="008F5F75" w:rsidP="008F5F75">
      <w:pPr>
        <w:widowControl w:val="0"/>
        <w:suppressAutoHyphens/>
        <w:autoSpaceDE w:val="0"/>
        <w:spacing w:after="0" w:line="264" w:lineRule="auto"/>
        <w:ind w:left="5664" w:firstLine="708"/>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до договору № ________________</w:t>
      </w:r>
    </w:p>
    <w:p w14:paraId="5E604547" w14:textId="77777777" w:rsidR="008F5F75" w:rsidRPr="00EB4E5F" w:rsidRDefault="008F5F75" w:rsidP="008F5F75">
      <w:pPr>
        <w:widowControl w:val="0"/>
        <w:suppressAutoHyphens/>
        <w:autoSpaceDE w:val="0"/>
        <w:spacing w:after="0" w:line="264" w:lineRule="auto"/>
        <w:ind w:left="6372"/>
        <w:jc w:val="right"/>
        <w:rPr>
          <w:rFonts w:ascii="Times New Roman" w:hAnsi="Times New Roman" w:cs="Times New Roman"/>
          <w:b/>
          <w:sz w:val="24"/>
          <w:szCs w:val="24"/>
          <w:lang w:eastAsia="ar-SA"/>
        </w:rPr>
      </w:pPr>
      <w:r w:rsidRPr="00EB4E5F">
        <w:rPr>
          <w:rFonts w:ascii="Times New Roman" w:hAnsi="Times New Roman" w:cs="Times New Roman"/>
          <w:b/>
          <w:sz w:val="24"/>
          <w:szCs w:val="24"/>
          <w:lang w:eastAsia="ar-SA"/>
        </w:rPr>
        <w:t>від «___» ____________202</w:t>
      </w:r>
      <w:r>
        <w:rPr>
          <w:rFonts w:ascii="Times New Roman" w:hAnsi="Times New Roman" w:cs="Times New Roman"/>
          <w:b/>
          <w:sz w:val="24"/>
          <w:szCs w:val="24"/>
          <w:lang w:eastAsia="ar-SA"/>
        </w:rPr>
        <w:t>__</w:t>
      </w:r>
      <w:r w:rsidRPr="00EB4E5F">
        <w:rPr>
          <w:rFonts w:ascii="Times New Roman" w:hAnsi="Times New Roman" w:cs="Times New Roman"/>
          <w:b/>
          <w:sz w:val="24"/>
          <w:szCs w:val="24"/>
          <w:lang w:eastAsia="ar-SA"/>
        </w:rPr>
        <w:t xml:space="preserve"> року</w:t>
      </w:r>
    </w:p>
    <w:p w14:paraId="2E4EAA5B" w14:textId="77777777" w:rsidR="008F5F75" w:rsidRPr="00EB4E5F" w:rsidRDefault="008F5F75" w:rsidP="008F5F75">
      <w:pPr>
        <w:widowControl w:val="0"/>
        <w:shd w:val="clear" w:color="auto" w:fill="FFFFFF"/>
        <w:suppressAutoHyphens/>
        <w:autoSpaceDE w:val="0"/>
        <w:spacing w:after="0" w:line="264" w:lineRule="auto"/>
        <w:ind w:firstLine="567"/>
        <w:jc w:val="center"/>
        <w:rPr>
          <w:rFonts w:ascii="Times New Roman" w:hAnsi="Times New Roman" w:cs="Times New Roman"/>
          <w:b/>
          <w:sz w:val="24"/>
          <w:szCs w:val="24"/>
          <w:lang w:eastAsia="ar-SA"/>
        </w:rPr>
      </w:pPr>
    </w:p>
    <w:p w14:paraId="1AEA3EAD" w14:textId="77777777" w:rsidR="008F5F75" w:rsidRPr="00EB4E5F" w:rsidRDefault="008F5F75" w:rsidP="008F5F75">
      <w:pPr>
        <w:shd w:val="clear" w:color="auto" w:fill="FFFFFF"/>
        <w:spacing w:after="0" w:line="264" w:lineRule="auto"/>
        <w:ind w:firstLine="567"/>
        <w:jc w:val="center"/>
        <w:outlineLvl w:val="0"/>
        <w:rPr>
          <w:rFonts w:ascii="Times New Roman" w:hAnsi="Times New Roman" w:cs="Times New Roman"/>
          <w:b/>
          <w:sz w:val="24"/>
          <w:szCs w:val="24"/>
        </w:rPr>
      </w:pPr>
      <w:r w:rsidRPr="00EB4E5F">
        <w:rPr>
          <w:rFonts w:ascii="Times New Roman" w:hAnsi="Times New Roman" w:cs="Times New Roman"/>
          <w:b/>
          <w:sz w:val="24"/>
          <w:szCs w:val="24"/>
        </w:rPr>
        <w:t>СПЕЦИФІКАЦІЯ</w:t>
      </w:r>
    </w:p>
    <w:p w14:paraId="27732F9E" w14:textId="5A4042D3" w:rsidR="008F5F75" w:rsidRPr="00EB4E5F" w:rsidRDefault="008F5F75" w:rsidP="008F5F75">
      <w:pPr>
        <w:pStyle w:val="ac"/>
        <w:spacing w:before="0" w:after="0" w:line="264" w:lineRule="auto"/>
        <w:ind w:firstLine="567"/>
        <w:jc w:val="center"/>
        <w:rPr>
          <w:b/>
          <w:shd w:val="clear" w:color="auto" w:fill="FFFFFF"/>
          <w:lang w:val="uk-UA"/>
        </w:rPr>
      </w:pPr>
      <w:r w:rsidRPr="00EB4E5F">
        <w:rPr>
          <w:b/>
          <w:lang w:val="uk-UA"/>
        </w:rPr>
        <w:t xml:space="preserve">на закупівлю </w:t>
      </w:r>
      <w:r w:rsidR="00731723" w:rsidRPr="00731723">
        <w:rPr>
          <w:b/>
          <w:bCs/>
          <w:lang w:val="uk-UA"/>
        </w:rPr>
        <w:t>«код ДК 021:2015 - 44810000-1 «Фарби» (Емаль алкідна ПФ-115 зелена, Емаль алкідна ПФ-115 блакитна, Емаль алкідна ПФ-115 біла глянсова, Емаль алкідна ПФ-115 жовта, Емаль алкідна ПФ-115 сіра, Емаль алкідна ПФ-115 чорна, Емаль алкідна ПФ-115 червона, Емаль алкідна ПФ-115 синя, Емаль алкідна ПФ-115 салатова, Емаль алкідна ПФ-115 оранжева, Емаль алкідна ПФ-115 фіолетова, Емаль алкідна ПФ-115 вишнева, Емаль алкідна ПФ-115 темно-коричнева, Лак яхтовий алкідно-уретановий глянсовий, Емаль алкідна ПФ-266 жовто-коричнева, Емаль алкідна ПФ-266 червоно-коричнева, Фарба латексна акрилова для стін та стель»</w:t>
      </w:r>
    </w:p>
    <w:p w14:paraId="08F67FCB" w14:textId="77777777" w:rsidR="008F5F75" w:rsidRPr="00EB4E5F" w:rsidRDefault="008F5F75" w:rsidP="008F5F75">
      <w:pPr>
        <w:pStyle w:val="ac"/>
        <w:spacing w:before="0" w:after="0" w:line="264" w:lineRule="auto"/>
        <w:ind w:firstLine="567"/>
        <w:jc w:val="center"/>
        <w:rPr>
          <w:b/>
          <w:shd w:val="clear" w:color="auto" w:fill="FFFFFF"/>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8F5F75" w:rsidRPr="00C176DC" w14:paraId="0D615E3B" w14:textId="77777777" w:rsidTr="0038633E">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7391357B" w14:textId="77777777" w:rsidR="008F5F75" w:rsidRPr="00C176DC" w:rsidRDefault="008F5F75" w:rsidP="008F5F75">
            <w:pPr>
              <w:spacing w:after="0" w:line="264" w:lineRule="auto"/>
              <w:jc w:val="center"/>
              <w:rPr>
                <w:rFonts w:ascii="Times New Roman" w:hAnsi="Times New Roman" w:cs="Times New Roman"/>
                <w:b/>
                <w:sz w:val="20"/>
                <w:szCs w:val="20"/>
              </w:rPr>
            </w:pPr>
            <w:r w:rsidRPr="00C176DC">
              <w:rPr>
                <w:rFonts w:ascii="Times New Roman" w:hAnsi="Times New Roman" w:cs="Times New Roman"/>
                <w:b/>
                <w:sz w:val="20"/>
                <w:szCs w:val="20"/>
              </w:rPr>
              <w:t>№</w:t>
            </w:r>
          </w:p>
          <w:p w14:paraId="24BDAC5E"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B8A4F38"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240DCC3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40614981"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14:paraId="6F4DB1AD"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14:paraId="12A6358F" w14:textId="77777777" w:rsidR="008F5F75" w:rsidRPr="00C176DC" w:rsidRDefault="008F5F75" w:rsidP="008F5F75">
            <w:pPr>
              <w:tabs>
                <w:tab w:val="left" w:pos="2715"/>
              </w:tabs>
              <w:spacing w:after="0" w:line="264" w:lineRule="auto"/>
              <w:jc w:val="center"/>
              <w:rPr>
                <w:rFonts w:ascii="Times New Roman" w:hAnsi="Times New Roman" w:cs="Times New Roman"/>
                <w:sz w:val="20"/>
                <w:szCs w:val="20"/>
              </w:rPr>
            </w:pPr>
            <w:r w:rsidRPr="00C176DC">
              <w:rPr>
                <w:rFonts w:ascii="Times New Roman" w:hAnsi="Times New Roman" w:cs="Times New Roman"/>
                <w:b/>
                <w:sz w:val="20"/>
                <w:szCs w:val="20"/>
              </w:rPr>
              <w:t>Всього, грн. з або без ПДВ</w:t>
            </w:r>
          </w:p>
        </w:tc>
      </w:tr>
      <w:tr w:rsidR="008F5F75" w:rsidRPr="00C176DC" w14:paraId="46FFE706"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B68C88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DE12395"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311EC47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46347E6"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FC9E70B"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2FB17C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0A707781" w14:textId="77777777" w:rsidTr="0038633E">
        <w:trPr>
          <w:trHeight w:val="649"/>
        </w:trPr>
        <w:tc>
          <w:tcPr>
            <w:tcW w:w="534" w:type="dxa"/>
            <w:tcBorders>
              <w:top w:val="single" w:sz="4" w:space="0" w:color="auto"/>
              <w:left w:val="single" w:sz="4" w:space="0" w:color="auto"/>
              <w:bottom w:val="single" w:sz="4" w:space="0" w:color="auto"/>
              <w:right w:val="single" w:sz="4" w:space="0" w:color="auto"/>
            </w:tcBorders>
            <w:vAlign w:val="center"/>
          </w:tcPr>
          <w:p w14:paraId="624EA134" w14:textId="281DDA3E" w:rsidR="008F5F75" w:rsidRPr="00C176DC" w:rsidRDefault="00084A73" w:rsidP="008F5F75">
            <w:pPr>
              <w:tabs>
                <w:tab w:val="left" w:pos="2715"/>
              </w:tabs>
              <w:spacing w:after="0" w:line="264" w:lineRule="auto"/>
              <w:jc w:val="center"/>
              <w:rPr>
                <w:rFonts w:ascii="Times New Roman" w:hAnsi="Times New Roman" w:cs="Times New Roman"/>
              </w:rPr>
            </w:pPr>
            <w:r>
              <w:rPr>
                <w:rFonts w:ascii="Times New Roman" w:hAnsi="Times New Roman" w:cs="Times New Roman"/>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8B216D" w14:textId="77777777" w:rsidR="008F5F75" w:rsidRPr="00B970AC" w:rsidRDefault="008F5F75" w:rsidP="008F5F75">
            <w:pPr>
              <w:tabs>
                <w:tab w:val="left" w:pos="2715"/>
              </w:tabs>
              <w:spacing w:after="0" w:line="264"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14:paraId="5D8E551F"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8647023" w14:textId="77777777" w:rsidR="008F5F75" w:rsidRPr="00296265" w:rsidRDefault="008F5F75" w:rsidP="008F5F75">
            <w:pPr>
              <w:tabs>
                <w:tab w:val="left" w:pos="2715"/>
              </w:tabs>
              <w:spacing w:after="0"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2EBB72" w14:textId="77777777" w:rsidR="008F5F75" w:rsidRPr="00C176DC" w:rsidRDefault="008F5F75" w:rsidP="008F5F75">
            <w:pPr>
              <w:tabs>
                <w:tab w:val="left" w:pos="2715"/>
              </w:tabs>
              <w:spacing w:after="0" w:line="264"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14:paraId="1BD9B7E4" w14:textId="77777777" w:rsidR="008F5F75" w:rsidRPr="00C176DC" w:rsidRDefault="008F5F75" w:rsidP="008F5F75">
            <w:pPr>
              <w:tabs>
                <w:tab w:val="left" w:pos="2715"/>
              </w:tabs>
              <w:spacing w:after="0" w:line="264" w:lineRule="auto"/>
              <w:jc w:val="center"/>
              <w:rPr>
                <w:rFonts w:ascii="Times New Roman" w:hAnsi="Times New Roman" w:cs="Times New Roman"/>
              </w:rPr>
            </w:pPr>
          </w:p>
        </w:tc>
      </w:tr>
      <w:tr w:rsidR="008F5F75" w:rsidRPr="00C176DC" w14:paraId="795F96D8" w14:textId="77777777" w:rsidTr="0038633E">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17A55147" w14:textId="77777777" w:rsidR="008F5F75" w:rsidRPr="00C176DC" w:rsidRDefault="008F5F75" w:rsidP="008F5F75">
            <w:pPr>
              <w:spacing w:after="0" w:line="264" w:lineRule="auto"/>
              <w:jc w:val="center"/>
              <w:rPr>
                <w:rFonts w:ascii="Times New Roman" w:hAnsi="Times New Roman" w:cs="Times New Roman"/>
                <w:b/>
              </w:rPr>
            </w:pPr>
            <w:r w:rsidRPr="00C176DC">
              <w:rPr>
                <w:rFonts w:ascii="Times New Roman" w:hAnsi="Times New Roman" w:cs="Times New Roman"/>
                <w:b/>
              </w:rPr>
              <w:t xml:space="preserve">Загальна вартість тендерної пропозиції, грн. з ПДВ </w:t>
            </w:r>
            <w:r w:rsidRPr="00C176DC">
              <w:rPr>
                <w:rFonts w:ascii="Times New Roman" w:hAnsi="Times New Roman" w:cs="Times New Roman"/>
                <w:i/>
              </w:rPr>
              <w:t>(</w:t>
            </w:r>
            <w:r w:rsidRPr="00C176DC">
              <w:rPr>
                <w:rFonts w:ascii="Times New Roman" w:hAnsi="Times New Roman" w:cs="Times New Roman"/>
                <w:i/>
                <w:u w:val="single"/>
              </w:rPr>
              <w:t>якщо учасник не є платником ПДВ поруч з ціною має бути зазначено: «без ПДВ»</w:t>
            </w:r>
            <w:r w:rsidRPr="00C176DC">
              <w:rPr>
                <w:rFonts w:ascii="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2BDA39" w14:textId="77777777" w:rsidR="008F5F75" w:rsidRPr="00C176DC" w:rsidRDefault="008F5F75" w:rsidP="008F5F75">
            <w:pPr>
              <w:tabs>
                <w:tab w:val="left" w:pos="2715"/>
              </w:tabs>
              <w:spacing w:after="0" w:line="264" w:lineRule="auto"/>
              <w:jc w:val="center"/>
              <w:rPr>
                <w:rFonts w:ascii="Times New Roman" w:hAnsi="Times New Roman" w:cs="Times New Roman"/>
                <w:i/>
              </w:rPr>
            </w:pPr>
            <w:r w:rsidRPr="00C176DC">
              <w:rPr>
                <w:rFonts w:ascii="Times New Roman" w:hAnsi="Times New Roman" w:cs="Times New Roman"/>
                <w:i/>
              </w:rPr>
              <w:t>(цифрами та словами)</w:t>
            </w:r>
          </w:p>
        </w:tc>
      </w:tr>
    </w:tbl>
    <w:p w14:paraId="632ACA03" w14:textId="77777777" w:rsidR="008F5F75" w:rsidRPr="00EB4E5F" w:rsidRDefault="008F5F75" w:rsidP="008F5F75">
      <w:pPr>
        <w:pStyle w:val="ac"/>
        <w:spacing w:before="0" w:after="0" w:line="264" w:lineRule="auto"/>
        <w:ind w:firstLine="567"/>
        <w:rPr>
          <w:lang w:val="uk-UA"/>
        </w:rPr>
      </w:pPr>
    </w:p>
    <w:p w14:paraId="7B94C45B" w14:textId="77777777" w:rsidR="008F5F75" w:rsidRPr="00EB4E5F" w:rsidRDefault="008F5F75" w:rsidP="008F5F75">
      <w:pPr>
        <w:spacing w:after="0" w:line="264" w:lineRule="auto"/>
        <w:jc w:val="both"/>
        <w:rPr>
          <w:rFonts w:ascii="Times New Roman" w:hAnsi="Times New Roman" w:cs="Times New Roman"/>
          <w:b/>
          <w:sz w:val="24"/>
          <w:szCs w:val="24"/>
          <w:lang w:eastAsia="ar-SA"/>
        </w:rPr>
      </w:pPr>
    </w:p>
    <w:tbl>
      <w:tblPr>
        <w:tblW w:w="10022" w:type="dxa"/>
        <w:tblInd w:w="708" w:type="dxa"/>
        <w:tblLayout w:type="fixed"/>
        <w:tblLook w:val="0000" w:firstRow="0" w:lastRow="0" w:firstColumn="0" w:lastColumn="0" w:noHBand="0" w:noVBand="0"/>
      </w:tblPr>
      <w:tblGrid>
        <w:gridCol w:w="5003"/>
        <w:gridCol w:w="5019"/>
      </w:tblGrid>
      <w:tr w:rsidR="008F5F75" w:rsidRPr="009C0AD1" w14:paraId="04CA8A44" w14:textId="77777777" w:rsidTr="0038633E">
        <w:trPr>
          <w:trHeight w:val="3894"/>
        </w:trPr>
        <w:tc>
          <w:tcPr>
            <w:tcW w:w="5003" w:type="dxa"/>
            <w:shd w:val="clear" w:color="auto" w:fill="auto"/>
          </w:tcPr>
          <w:p w14:paraId="153DCD26" w14:textId="77777777" w:rsidR="008F5F75"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7EF3E878"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r w:rsidRPr="009C0AD1">
              <w:rPr>
                <w:rFonts w:ascii="Times New Roman" w:eastAsia="Times New Roman" w:hAnsi="Times New Roman" w:cs="Times New Roman"/>
                <w:b/>
                <w:spacing w:val="-1"/>
                <w:sz w:val="24"/>
                <w:szCs w:val="24"/>
                <w:u w:val="single"/>
                <w:lang w:eastAsia="zh-CN"/>
              </w:rPr>
              <w:t>ЗАМОВНИК:</w:t>
            </w:r>
          </w:p>
          <w:p w14:paraId="6E2A303D" w14:textId="77777777" w:rsidR="008F5F75" w:rsidRPr="00EB4EB1" w:rsidRDefault="008F5F75" w:rsidP="008F5F75">
            <w:pPr>
              <w:widowControl w:val="0"/>
              <w:suppressAutoHyphens/>
              <w:autoSpaceDE w:val="0"/>
              <w:snapToGrid w:val="0"/>
              <w:spacing w:after="0" w:line="264" w:lineRule="auto"/>
              <w:contextualSpacing/>
              <w:jc w:val="center"/>
              <w:rPr>
                <w:rFonts w:ascii="Times New Roman" w:eastAsia="Times New Roman" w:hAnsi="Times New Roman" w:cs="Times New Roman"/>
                <w:b/>
                <w:spacing w:val="-1"/>
                <w:sz w:val="24"/>
                <w:szCs w:val="24"/>
                <w:u w:val="single"/>
                <w:lang w:eastAsia="zh-CN"/>
              </w:rPr>
            </w:pPr>
          </w:p>
          <w:p w14:paraId="63897C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C7B6EA9"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16510989"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E792D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7F8A27C"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87E563A"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1BEA73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A20DE8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A052E04"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2D17FDF"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7288981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7D40C5EF"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38F6589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5DB14895"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c>
          <w:tcPr>
            <w:tcW w:w="5019" w:type="dxa"/>
            <w:shd w:val="clear" w:color="auto" w:fill="auto"/>
          </w:tcPr>
          <w:p w14:paraId="753A710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u w:val="single"/>
                <w:lang w:eastAsia="zh-CN"/>
              </w:rPr>
            </w:pPr>
          </w:p>
          <w:p w14:paraId="5E0E8E14" w14:textId="77777777" w:rsidR="008F5F75" w:rsidRPr="009C0AD1" w:rsidRDefault="008F5F75" w:rsidP="008F5F75">
            <w:pPr>
              <w:widowControl w:val="0"/>
              <w:suppressAutoHyphens/>
              <w:autoSpaceDE w:val="0"/>
              <w:spacing w:after="0" w:line="264" w:lineRule="auto"/>
              <w:contextualSpacing/>
              <w:jc w:val="center"/>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u w:val="single"/>
                <w:lang w:eastAsia="zh-CN"/>
              </w:rPr>
              <w:t>ПОСТАЧАЛЬНИК</w:t>
            </w:r>
            <w:r w:rsidRPr="009C0AD1">
              <w:rPr>
                <w:rFonts w:ascii="Times New Roman" w:eastAsia="Arial" w:hAnsi="Times New Roman" w:cs="Times New Roman"/>
                <w:b/>
                <w:color w:val="000000"/>
                <w:sz w:val="24"/>
                <w:szCs w:val="24"/>
                <w:lang w:eastAsia="zh-CN"/>
              </w:rPr>
              <w:t>:</w:t>
            </w:r>
          </w:p>
          <w:p w14:paraId="6F6D7732"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5582A283" w14:textId="77777777" w:rsidR="008F5F75" w:rsidRPr="009C0AD1" w:rsidRDefault="008F5F75" w:rsidP="008F5F75">
            <w:pPr>
              <w:widowControl w:val="0"/>
              <w:suppressAutoHyphens/>
              <w:autoSpaceDE w:val="0"/>
              <w:spacing w:after="0" w:line="264" w:lineRule="auto"/>
              <w:ind w:left="283"/>
              <w:contextualSpacing/>
              <w:jc w:val="center"/>
              <w:rPr>
                <w:rFonts w:ascii="Times New Roman" w:eastAsia="Times New Roman" w:hAnsi="Times New Roman" w:cs="Times New Roman"/>
                <w:sz w:val="24"/>
                <w:szCs w:val="24"/>
                <w:lang w:eastAsia="zh-CN"/>
              </w:rPr>
            </w:pPr>
          </w:p>
          <w:p w14:paraId="0FA1644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D90550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651ABC97"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DC1DEE5"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2190E29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4E509351"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04305E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3FAE0A93" w14:textId="77777777" w:rsidR="008F5F75" w:rsidRPr="009C0AD1" w:rsidRDefault="008F5F75" w:rsidP="008F5F75">
            <w:pPr>
              <w:widowControl w:val="0"/>
              <w:suppressAutoHyphens/>
              <w:autoSpaceDE w:val="0"/>
              <w:spacing w:after="0" w:line="264" w:lineRule="auto"/>
              <w:contextualSpacing/>
              <w:jc w:val="center"/>
              <w:rPr>
                <w:rFonts w:ascii="Times New Roman" w:eastAsia="Times New Roman" w:hAnsi="Times New Roman" w:cs="Times New Roman"/>
                <w:bCs/>
                <w:spacing w:val="-1"/>
                <w:sz w:val="24"/>
                <w:szCs w:val="24"/>
                <w:lang w:eastAsia="zh-CN"/>
              </w:rPr>
            </w:pPr>
            <w:r w:rsidRPr="009C0AD1">
              <w:rPr>
                <w:rFonts w:ascii="Times New Roman" w:eastAsia="Times New Roman" w:hAnsi="Times New Roman" w:cs="Times New Roman"/>
                <w:sz w:val="24"/>
                <w:szCs w:val="24"/>
                <w:lang w:eastAsia="zh-CN"/>
              </w:rPr>
              <w:t>_____________________________</w:t>
            </w:r>
          </w:p>
          <w:p w14:paraId="12D88185" w14:textId="77777777" w:rsidR="008F5F75"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p>
          <w:p w14:paraId="232F0726"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b/>
                <w:color w:val="000000"/>
                <w:sz w:val="24"/>
                <w:szCs w:val="24"/>
                <w:lang w:eastAsia="zh-CN"/>
              </w:rPr>
            </w:pPr>
            <w:r w:rsidRPr="009C0AD1">
              <w:rPr>
                <w:rFonts w:ascii="Times New Roman" w:eastAsia="Arial" w:hAnsi="Times New Roman" w:cs="Times New Roman"/>
                <w:b/>
                <w:color w:val="000000"/>
                <w:sz w:val="24"/>
                <w:szCs w:val="24"/>
                <w:lang w:eastAsia="zh-CN"/>
              </w:rPr>
              <w:t>________________</w:t>
            </w:r>
          </w:p>
          <w:p w14:paraId="5E320CD4" w14:textId="77777777" w:rsidR="008F5F75" w:rsidRPr="009C0AD1" w:rsidRDefault="008F5F75" w:rsidP="008F5F75">
            <w:pPr>
              <w:widowControl w:val="0"/>
              <w:suppressAutoHyphens/>
              <w:autoSpaceDE w:val="0"/>
              <w:spacing w:after="0" w:line="264" w:lineRule="auto"/>
              <w:contextualSpacing/>
              <w:rPr>
                <w:rFonts w:ascii="Times New Roman" w:eastAsia="Times New Roman" w:hAnsi="Times New Roman" w:cs="Times New Roman"/>
                <w:b/>
                <w:sz w:val="24"/>
                <w:szCs w:val="24"/>
                <w:lang w:eastAsia="zh-CN"/>
              </w:rPr>
            </w:pPr>
          </w:p>
          <w:p w14:paraId="4122FA8E"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b/>
                <w:color w:val="000000"/>
                <w:sz w:val="24"/>
                <w:szCs w:val="24"/>
                <w:lang w:eastAsia="zh-CN"/>
              </w:rPr>
              <w:t>____________________  ____________</w:t>
            </w:r>
          </w:p>
          <w:p w14:paraId="75F2F5BF" w14:textId="77777777" w:rsidR="008F5F75" w:rsidRPr="009C0AD1" w:rsidRDefault="008F5F75" w:rsidP="008F5F75">
            <w:pPr>
              <w:widowControl w:val="0"/>
              <w:suppressAutoHyphens/>
              <w:autoSpaceDE w:val="0"/>
              <w:spacing w:after="0" w:line="264" w:lineRule="auto"/>
              <w:contextualSpacing/>
              <w:rPr>
                <w:rFonts w:ascii="Times New Roman" w:eastAsia="Arial" w:hAnsi="Times New Roman" w:cs="Times New Roman"/>
                <w:color w:val="000000"/>
                <w:sz w:val="24"/>
                <w:szCs w:val="24"/>
                <w:lang w:eastAsia="zh-CN"/>
              </w:rPr>
            </w:pPr>
            <w:r w:rsidRPr="009C0AD1">
              <w:rPr>
                <w:rFonts w:ascii="Times New Roman" w:eastAsia="Arial" w:hAnsi="Times New Roman" w:cs="Times New Roman"/>
                <w:color w:val="000000"/>
                <w:sz w:val="24"/>
                <w:szCs w:val="24"/>
                <w:lang w:eastAsia="zh-CN"/>
              </w:rPr>
              <w:t xml:space="preserve">м.п.  </w:t>
            </w:r>
          </w:p>
        </w:tc>
      </w:tr>
    </w:tbl>
    <w:p w14:paraId="06A568F8" w14:textId="10C96EDF" w:rsidR="00A61859" w:rsidRPr="007A0968" w:rsidRDefault="00A61859" w:rsidP="008F5F75">
      <w:pPr>
        <w:spacing w:after="0" w:line="264" w:lineRule="auto"/>
        <w:ind w:left="11199"/>
        <w:jc w:val="both"/>
        <w:rPr>
          <w:rFonts w:ascii="Times New Roman" w:eastAsia="Calibri" w:hAnsi="Times New Roman" w:cs="Times New Roman"/>
          <w:i/>
          <w:sz w:val="24"/>
          <w:szCs w:val="24"/>
        </w:rPr>
      </w:pPr>
    </w:p>
    <w:sectPr w:rsidR="00A61859" w:rsidRPr="007A0968" w:rsidSect="008F5F75">
      <w:pgSz w:w="11906" w:h="16838"/>
      <w:pgMar w:top="720" w:right="426" w:bottom="720" w:left="426" w:header="720" w:footer="1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B808" w14:textId="77777777" w:rsidR="004031BB" w:rsidRDefault="004031BB" w:rsidP="00A2588B">
      <w:pPr>
        <w:spacing w:after="0" w:line="240" w:lineRule="auto"/>
      </w:pPr>
      <w:r>
        <w:separator/>
      </w:r>
    </w:p>
  </w:endnote>
  <w:endnote w:type="continuationSeparator" w:id="0">
    <w:p w14:paraId="42DBDA75" w14:textId="77777777" w:rsidR="004031BB" w:rsidRDefault="004031BB"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F86586" w:rsidRPr="00F86586">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2E471" w14:textId="77777777" w:rsidR="004031BB" w:rsidRDefault="004031BB" w:rsidP="00A2588B">
      <w:pPr>
        <w:spacing w:after="0" w:line="240" w:lineRule="auto"/>
      </w:pPr>
      <w:r>
        <w:separator/>
      </w:r>
    </w:p>
  </w:footnote>
  <w:footnote w:type="continuationSeparator" w:id="0">
    <w:p w14:paraId="339746E9" w14:textId="77777777" w:rsidR="004031BB" w:rsidRDefault="004031BB" w:rsidP="00A2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84A73"/>
    <w:rsid w:val="000B3840"/>
    <w:rsid w:val="000B4A0D"/>
    <w:rsid w:val="000E7DFA"/>
    <w:rsid w:val="00132E54"/>
    <w:rsid w:val="001618DD"/>
    <w:rsid w:val="0018654B"/>
    <w:rsid w:val="001A2E07"/>
    <w:rsid w:val="001A64D2"/>
    <w:rsid w:val="001E2FBE"/>
    <w:rsid w:val="001E5D1B"/>
    <w:rsid w:val="00243E3B"/>
    <w:rsid w:val="002461C8"/>
    <w:rsid w:val="002758C1"/>
    <w:rsid w:val="0028099E"/>
    <w:rsid w:val="002D306D"/>
    <w:rsid w:val="003120E2"/>
    <w:rsid w:val="00330006"/>
    <w:rsid w:val="003B5244"/>
    <w:rsid w:val="003D5E26"/>
    <w:rsid w:val="004031BB"/>
    <w:rsid w:val="00410C41"/>
    <w:rsid w:val="00473F6E"/>
    <w:rsid w:val="004B1314"/>
    <w:rsid w:val="004B69A4"/>
    <w:rsid w:val="0050710E"/>
    <w:rsid w:val="00510BD4"/>
    <w:rsid w:val="00527B44"/>
    <w:rsid w:val="00534DD6"/>
    <w:rsid w:val="00543FB4"/>
    <w:rsid w:val="005B61E7"/>
    <w:rsid w:val="005C5DA7"/>
    <w:rsid w:val="005E262E"/>
    <w:rsid w:val="005F087D"/>
    <w:rsid w:val="00602C6E"/>
    <w:rsid w:val="00631FBE"/>
    <w:rsid w:val="00641F70"/>
    <w:rsid w:val="00646FB9"/>
    <w:rsid w:val="00686F6E"/>
    <w:rsid w:val="006B1BFB"/>
    <w:rsid w:val="006B7BA2"/>
    <w:rsid w:val="006D20CE"/>
    <w:rsid w:val="0070218C"/>
    <w:rsid w:val="00707EDA"/>
    <w:rsid w:val="00713568"/>
    <w:rsid w:val="00731723"/>
    <w:rsid w:val="00772F69"/>
    <w:rsid w:val="007A0968"/>
    <w:rsid w:val="007B2F62"/>
    <w:rsid w:val="0080397C"/>
    <w:rsid w:val="008148BF"/>
    <w:rsid w:val="0081692D"/>
    <w:rsid w:val="00843647"/>
    <w:rsid w:val="00865CA9"/>
    <w:rsid w:val="00882C11"/>
    <w:rsid w:val="00886125"/>
    <w:rsid w:val="008C388E"/>
    <w:rsid w:val="008F5F75"/>
    <w:rsid w:val="0093064D"/>
    <w:rsid w:val="0093381A"/>
    <w:rsid w:val="00937788"/>
    <w:rsid w:val="009424D4"/>
    <w:rsid w:val="00944381"/>
    <w:rsid w:val="009F6CF3"/>
    <w:rsid w:val="00A10751"/>
    <w:rsid w:val="00A2588B"/>
    <w:rsid w:val="00A33C9F"/>
    <w:rsid w:val="00A61859"/>
    <w:rsid w:val="00AA23B1"/>
    <w:rsid w:val="00B12BFE"/>
    <w:rsid w:val="00B2158D"/>
    <w:rsid w:val="00B404DA"/>
    <w:rsid w:val="00B419E9"/>
    <w:rsid w:val="00B94EB5"/>
    <w:rsid w:val="00BA15A0"/>
    <w:rsid w:val="00BE5C5C"/>
    <w:rsid w:val="00CC1F9A"/>
    <w:rsid w:val="00CD17C7"/>
    <w:rsid w:val="00CD44E1"/>
    <w:rsid w:val="00CD6FB6"/>
    <w:rsid w:val="00CE34FB"/>
    <w:rsid w:val="00CE6810"/>
    <w:rsid w:val="00CF42E8"/>
    <w:rsid w:val="00D02858"/>
    <w:rsid w:val="00D35028"/>
    <w:rsid w:val="00D57AD8"/>
    <w:rsid w:val="00D856C1"/>
    <w:rsid w:val="00DD61BB"/>
    <w:rsid w:val="00DD66AC"/>
    <w:rsid w:val="00DE5BF6"/>
    <w:rsid w:val="00DF13BB"/>
    <w:rsid w:val="00E43258"/>
    <w:rsid w:val="00EB302B"/>
    <w:rsid w:val="00EF504E"/>
    <w:rsid w:val="00F06DA6"/>
    <w:rsid w:val="00F14B4B"/>
    <w:rsid w:val="00F26A95"/>
    <w:rsid w:val="00F41A2E"/>
    <w:rsid w:val="00F43C22"/>
    <w:rsid w:val="00F675E3"/>
    <w:rsid w:val="00F86586"/>
    <w:rsid w:val="00F91372"/>
    <w:rsid w:val="00FB6163"/>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8F5F7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F5F75"/>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cp:lastPrinted>2020-07-29T06:01:00Z</cp:lastPrinted>
  <dcterms:created xsi:type="dcterms:W3CDTF">2023-05-11T08:01:00Z</dcterms:created>
  <dcterms:modified xsi:type="dcterms:W3CDTF">2023-06-09T08:33:00Z</dcterms:modified>
</cp:coreProperties>
</file>