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F8CE2" w14:textId="77777777" w:rsidR="002C48AA" w:rsidRDefault="002C48AA" w:rsidP="002C48AA">
      <w:pPr>
        <w:pStyle w:val="a5"/>
        <w:jc w:val="right"/>
      </w:pPr>
      <w:bookmarkStart w:id="0" w:name="_Hlk117510073"/>
      <w:r w:rsidRPr="0082166E">
        <w:t xml:space="preserve">Додаток 1 </w:t>
      </w:r>
    </w:p>
    <w:p w14:paraId="19DC8721" w14:textId="77777777" w:rsidR="002C48AA" w:rsidRPr="0082166E" w:rsidRDefault="002C48AA" w:rsidP="002C48AA">
      <w:pPr>
        <w:pStyle w:val="a5"/>
        <w:jc w:val="right"/>
      </w:pPr>
      <w:r>
        <w:t>до Тендерної документації</w:t>
      </w:r>
    </w:p>
    <w:bookmarkEnd w:id="0"/>
    <w:p w14:paraId="3C38CC57" w14:textId="77777777" w:rsidR="002C48AA" w:rsidRPr="0082166E" w:rsidRDefault="002C48AA" w:rsidP="002C48AA">
      <w:pPr>
        <w:pStyle w:val="a5"/>
      </w:pPr>
    </w:p>
    <w:p w14:paraId="056EF2AD" w14:textId="77777777" w:rsidR="00BC37F8" w:rsidRDefault="002C48AA" w:rsidP="002C48AA">
      <w:pPr>
        <w:pStyle w:val="a5"/>
        <w:jc w:val="center"/>
        <w:rPr>
          <w:b/>
        </w:rPr>
      </w:pPr>
      <w:r w:rsidRPr="00531E79">
        <w:rPr>
          <w:b/>
        </w:rPr>
        <w:t xml:space="preserve">ПЕРЕЛІК ДОКУМЕНТІВ, ЯКІ ВИМАГАЮТЬСЯ ДЛЯ ПІДТВЕРДЖЕННЯ </w:t>
      </w:r>
    </w:p>
    <w:p w14:paraId="6A03E6CA" w14:textId="444CD1F6" w:rsidR="002C48AA" w:rsidRPr="00531E79" w:rsidRDefault="002C48AA" w:rsidP="002C48AA">
      <w:pPr>
        <w:pStyle w:val="a5"/>
        <w:jc w:val="center"/>
        <w:rPr>
          <w:b/>
        </w:rPr>
      </w:pPr>
      <w:r w:rsidRPr="00531E79">
        <w:rPr>
          <w:b/>
        </w:rPr>
        <w:t>ВІДПОВІДНОСТІ ПРОПОЗИЦІЇ УЧАСНИКА ВИМОГАМ ЗАМОВНИКА</w:t>
      </w:r>
    </w:p>
    <w:p w14:paraId="32B9D4A3" w14:textId="77777777" w:rsidR="002C48AA" w:rsidRPr="0082166E" w:rsidRDefault="002C48AA" w:rsidP="002C48AA">
      <w:pPr>
        <w:jc w:val="both"/>
        <w:rPr>
          <w:b/>
          <w:bCs/>
        </w:rPr>
      </w:pPr>
    </w:p>
    <w:p w14:paraId="72172C8A" w14:textId="3B61F490" w:rsidR="002C48AA" w:rsidRPr="00BD3D29" w:rsidRDefault="002C48AA" w:rsidP="0097107D">
      <w:pPr>
        <w:jc w:val="center"/>
        <w:rPr>
          <w:b/>
        </w:rPr>
      </w:pPr>
      <w:r w:rsidRPr="0082166E">
        <w:rPr>
          <w:b/>
        </w:rPr>
        <w:t xml:space="preserve"> </w:t>
      </w:r>
      <w:bookmarkStart w:id="1" w:name="_GoBack"/>
      <w:bookmarkEnd w:id="1"/>
      <w:r w:rsidR="00BC37F8">
        <w:rPr>
          <w:b/>
        </w:rPr>
        <w:t>1</w:t>
      </w:r>
      <w:r w:rsidRPr="00BD3D29">
        <w:rPr>
          <w:b/>
        </w:rPr>
        <w:t>. 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14:paraId="7E149919" w14:textId="77777777" w:rsidR="002C48AA" w:rsidRDefault="002C48AA" w:rsidP="002C48AA">
      <w:pPr>
        <w:pStyle w:val="a5"/>
        <w:rPr>
          <w:b/>
          <w:i/>
          <w:iCs/>
          <w:bdr w:val="none" w:sz="0" w:space="0" w:color="auto" w:frame="1"/>
          <w:shd w:val="clear" w:color="auto" w:fill="FFFFFF"/>
        </w:rPr>
      </w:pPr>
    </w:p>
    <w:p w14:paraId="774254BB" w14:textId="2466C5DB" w:rsidR="002C48AA" w:rsidRPr="0042386D" w:rsidRDefault="00BC37F8" w:rsidP="002C48AA">
      <w:pPr>
        <w:spacing w:before="120"/>
        <w:ind w:firstLine="567"/>
        <w:jc w:val="both"/>
        <w:rPr>
          <w:color w:val="000000"/>
          <w:shd w:val="solid" w:color="FFFFFF" w:fill="FFFFFF"/>
        </w:rPr>
      </w:pPr>
      <w:r>
        <w:rPr>
          <w:b/>
          <w:i/>
          <w:iCs/>
          <w:bdr w:val="none" w:sz="0" w:space="0" w:color="auto" w:frame="1"/>
          <w:shd w:val="clear" w:color="auto" w:fill="FFFFFF"/>
        </w:rPr>
        <w:t>1</w:t>
      </w:r>
      <w:r w:rsidR="002C48AA" w:rsidRPr="0070477F">
        <w:rPr>
          <w:b/>
          <w:i/>
          <w:iCs/>
          <w:bdr w:val="none" w:sz="0" w:space="0" w:color="auto" w:frame="1"/>
          <w:shd w:val="clear" w:color="auto" w:fill="FFFFFF"/>
        </w:rPr>
        <w:t xml:space="preserve">.1. </w:t>
      </w:r>
      <w:r w:rsidR="002C48AA" w:rsidRPr="0070477F">
        <w:rPr>
          <w:b/>
          <w:iCs/>
          <w:bdr w:val="none" w:sz="0" w:space="0" w:color="auto" w:frame="1"/>
          <w:shd w:val="clear" w:color="auto" w:fill="FFFFFF"/>
        </w:rPr>
        <w:t>Для учасників:</w:t>
      </w:r>
      <w:r w:rsidR="002C48AA" w:rsidRPr="00BD3D29">
        <w:rPr>
          <w:i/>
          <w:iCs/>
          <w:bdr w:val="none" w:sz="0" w:space="0" w:color="auto" w:frame="1"/>
          <w:shd w:val="clear" w:color="auto" w:fill="FFFFFF"/>
        </w:rPr>
        <w:t xml:space="preserve"> </w:t>
      </w:r>
      <w:r w:rsidR="002C48AA"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2C48AA">
        <w:rPr>
          <w:color w:val="000000"/>
          <w:shd w:val="solid" w:color="FFFFFF" w:fill="FFFFFF"/>
          <w:lang w:eastAsia="en-US"/>
        </w:rPr>
        <w:t xml:space="preserve"> </w:t>
      </w:r>
    </w:p>
    <w:p w14:paraId="46B9857E" w14:textId="77777777" w:rsidR="002C48AA" w:rsidRDefault="002C48AA" w:rsidP="002C48AA">
      <w:pPr>
        <w:pStyle w:val="a5"/>
        <w:ind w:firstLine="567"/>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14:paraId="5642FA7B" w14:textId="77777777" w:rsidR="002C48AA" w:rsidRDefault="002C48AA" w:rsidP="002C48AA">
      <w:pPr>
        <w:pStyle w:val="a5"/>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2901401" w14:textId="77777777" w:rsidR="002C48AA" w:rsidRPr="0042386D" w:rsidRDefault="002C48AA" w:rsidP="002C48AA">
      <w:pPr>
        <w:pStyle w:val="a5"/>
        <w:jc w:val="both"/>
      </w:pPr>
    </w:p>
    <w:p w14:paraId="4C5C439A" w14:textId="301D3367" w:rsidR="002C48AA" w:rsidRDefault="00BC37F8" w:rsidP="002C48AA">
      <w:pPr>
        <w:spacing w:before="120"/>
        <w:ind w:firstLine="567"/>
        <w:jc w:val="both"/>
        <w:rPr>
          <w:color w:val="000000"/>
          <w:shd w:val="solid" w:color="FFFFFF" w:fill="FFFFFF"/>
          <w:lang w:eastAsia="en-US"/>
        </w:rPr>
      </w:pPr>
      <w:r>
        <w:rPr>
          <w:b/>
        </w:rPr>
        <w:t>1</w:t>
      </w:r>
      <w:r w:rsidR="002C48AA" w:rsidRPr="0070477F">
        <w:rPr>
          <w:b/>
        </w:rPr>
        <w:t>.2.</w:t>
      </w:r>
      <w:r w:rsidR="002C48AA" w:rsidRPr="0070477F">
        <w:t xml:space="preserve"> </w:t>
      </w:r>
      <w:r w:rsidR="002C48AA" w:rsidRPr="00550394">
        <w:rPr>
          <w:b/>
        </w:rPr>
        <w:t>Для переможця:</w:t>
      </w:r>
      <w:r w:rsidR="002C48AA" w:rsidRPr="00550394">
        <w:rPr>
          <w:color w:val="000000"/>
          <w:sz w:val="28"/>
          <w:szCs w:val="28"/>
          <w:shd w:val="solid" w:color="FFFFFF" w:fill="FFFFFF"/>
          <w:lang w:eastAsia="en-US"/>
        </w:rPr>
        <w:t xml:space="preserve"> </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A9A519A" w14:textId="77777777"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D392E93" w14:textId="77777777"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75BCAEFE" w14:textId="77777777" w:rsidR="002C48AA" w:rsidRDefault="002C48AA" w:rsidP="002C48AA">
      <w:pPr>
        <w:pStyle w:val="a5"/>
        <w:jc w:val="both"/>
      </w:pPr>
    </w:p>
    <w:p w14:paraId="62922E32" w14:textId="77777777" w:rsidR="002C48AA" w:rsidRDefault="002C48AA" w:rsidP="002C48AA">
      <w:pPr>
        <w:jc w:val="both"/>
        <w:rPr>
          <w:lang w:eastAsia="uk-UA"/>
        </w:rPr>
      </w:pPr>
      <w:r>
        <w:rPr>
          <w:lang w:eastAsia="uk-UA"/>
        </w:rPr>
        <w:t xml:space="preserve">        </w:t>
      </w: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14:paraId="1EA0CFF6" w14:textId="5B4F81FE" w:rsidR="002C48AA" w:rsidRPr="003E4898" w:rsidRDefault="002C48AA" w:rsidP="00E42D39">
      <w:pPr>
        <w:pStyle w:val="1"/>
        <w:shd w:val="clear" w:color="auto" w:fill="FFFFFF"/>
        <w:spacing w:before="0" w:beforeAutospacing="0" w:after="0" w:afterAutospacing="0"/>
        <w:contextualSpacing/>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3E4898">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p>
    <w:p w14:paraId="1366DDA8" w14:textId="77777777" w:rsidR="002C48AA" w:rsidRPr="00564E18" w:rsidRDefault="002C48AA" w:rsidP="002C48AA">
      <w:pPr>
        <w:tabs>
          <w:tab w:val="left" w:pos="9498"/>
        </w:tabs>
        <w:ind w:right="-1" w:firstLine="709"/>
        <w:jc w:val="both"/>
        <w:rPr>
          <w:i/>
          <w:iCs/>
          <w:lang w:eastAsia="ar-SA"/>
        </w:rPr>
      </w:pPr>
      <w:r w:rsidRPr="00564E18">
        <w:rPr>
          <w:i/>
          <w:iCs/>
          <w:lang w:eastAsia="ar-SA"/>
        </w:rPr>
        <w:lastRenderedPageBreak/>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C5229E1" w14:textId="77777777" w:rsidR="002C48AA" w:rsidRPr="00564E18" w:rsidRDefault="002C48AA" w:rsidP="002C48AA">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14:paraId="271D9141" w14:textId="77777777" w:rsidR="002C48AA" w:rsidRPr="005502FB" w:rsidRDefault="002C48AA" w:rsidP="002C48AA">
      <w:pPr>
        <w:spacing w:before="120"/>
        <w:ind w:firstLine="567"/>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14:paraId="4EC61E91" w14:textId="77777777" w:rsidR="002C48AA" w:rsidRPr="005502FB" w:rsidRDefault="002C48AA" w:rsidP="002C48AA">
      <w:pPr>
        <w:widowControl w:val="0"/>
        <w:spacing w:after="60"/>
        <w:ind w:left="34"/>
        <w:contextualSpacing/>
        <w:jc w:val="both"/>
        <w:rPr>
          <w:iCs/>
        </w:rPr>
      </w:pPr>
    </w:p>
    <w:p w14:paraId="218F7918" w14:textId="49463988" w:rsidR="002C48AA" w:rsidRDefault="003E4898" w:rsidP="002C48AA">
      <w:pPr>
        <w:pStyle w:val="a5"/>
        <w:rPr>
          <w:b/>
          <w:lang w:eastAsia="uk-UA"/>
        </w:rPr>
      </w:pPr>
      <w:r>
        <w:rPr>
          <w:b/>
          <w:lang w:eastAsia="uk-UA"/>
        </w:rPr>
        <w:t>2</w:t>
      </w:r>
      <w:r w:rsidR="002C48AA" w:rsidRPr="000759BD">
        <w:rPr>
          <w:b/>
          <w:lang w:eastAsia="uk-UA"/>
        </w:rPr>
        <w:t>. Інші документи:</w:t>
      </w:r>
    </w:p>
    <w:p w14:paraId="0E4C3AAF" w14:textId="66A1F634" w:rsidR="000C2509" w:rsidRPr="00584DE4" w:rsidRDefault="000C2509" w:rsidP="000C2509">
      <w:pPr>
        <w:spacing w:line="216" w:lineRule="auto"/>
        <w:ind w:firstLine="151"/>
        <w:jc w:val="both"/>
        <w:rPr>
          <w:b/>
        </w:rPr>
      </w:pPr>
      <w:r>
        <w:t>2.1.</w:t>
      </w:r>
      <w:r w:rsidRPr="000C2509">
        <w:rPr>
          <w:b/>
        </w:rPr>
        <w:t xml:space="preserve"> </w:t>
      </w:r>
      <w:r w:rsidRPr="00584DE4">
        <w:rPr>
          <w:b/>
        </w:rPr>
        <w:t>Правомочність на укладення договору про закупівлю та підписання пропозиції:</w:t>
      </w:r>
    </w:p>
    <w:p w14:paraId="6B5CFCFC" w14:textId="77777777" w:rsidR="000C2509" w:rsidRPr="00584DE4" w:rsidRDefault="000C2509" w:rsidP="000C2509">
      <w:pPr>
        <w:pStyle w:val="a5"/>
        <w:jc w:val="both"/>
      </w:pPr>
      <w:r w:rsidRPr="00584DE4">
        <w:t>Для юридичних осіб</w:t>
      </w:r>
    </w:p>
    <w:p w14:paraId="69624F4C" w14:textId="77777777" w:rsidR="000C2509" w:rsidRPr="00584DE4" w:rsidRDefault="000C2509" w:rsidP="000C2509">
      <w:pPr>
        <w:pStyle w:val="a5"/>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14:paraId="7B890B45" w14:textId="77777777" w:rsidR="000C2509" w:rsidRPr="00584DE4" w:rsidRDefault="000C2509" w:rsidP="000C2509">
      <w:pPr>
        <w:pStyle w:val="a5"/>
        <w:jc w:val="both"/>
      </w:pPr>
      <w:r w:rsidRPr="00584DE4">
        <w:t>- виписка з протоколу засновників або копія протоколу засновників, або</w:t>
      </w:r>
    </w:p>
    <w:p w14:paraId="53824F26" w14:textId="77777777" w:rsidR="000C2509" w:rsidRPr="00584DE4" w:rsidRDefault="000C2509" w:rsidP="000C2509">
      <w:pPr>
        <w:pStyle w:val="a5"/>
        <w:jc w:val="both"/>
      </w:pPr>
      <w:r w:rsidRPr="00584DE4">
        <w:t>- наказ про призначення, або</w:t>
      </w:r>
    </w:p>
    <w:p w14:paraId="49235306" w14:textId="77777777" w:rsidR="000C2509" w:rsidRPr="00584DE4" w:rsidRDefault="000C2509" w:rsidP="000C2509">
      <w:pPr>
        <w:pStyle w:val="a5"/>
        <w:jc w:val="both"/>
      </w:pPr>
      <w:r w:rsidRPr="00584DE4">
        <w:t>- довіреність або доручення або</w:t>
      </w:r>
    </w:p>
    <w:p w14:paraId="6B34EE6F" w14:textId="77777777" w:rsidR="000C2509" w:rsidRPr="00584DE4" w:rsidRDefault="000C2509" w:rsidP="000C2509">
      <w:pPr>
        <w:pStyle w:val="a5"/>
        <w:jc w:val="both"/>
      </w:pPr>
      <w:r w:rsidRPr="00584DE4">
        <w:t>- інший документ, що підтверджує повноваження посадової особи учасника на підписання документів.</w:t>
      </w:r>
    </w:p>
    <w:p w14:paraId="68AC0FAF" w14:textId="77777777" w:rsidR="000C2509" w:rsidRPr="00584DE4" w:rsidRDefault="000C2509" w:rsidP="000C2509">
      <w:pPr>
        <w:pStyle w:val="a5"/>
        <w:jc w:val="both"/>
      </w:pPr>
      <w:r w:rsidRPr="00584DE4">
        <w:t xml:space="preserve">2. Статут із змінами (в разі їх наявності) або іншого установчого документу. </w:t>
      </w:r>
    </w:p>
    <w:p w14:paraId="2BE2940D" w14:textId="77777777" w:rsidR="000C2509" w:rsidRPr="00584DE4" w:rsidRDefault="000C2509" w:rsidP="000C2509">
      <w:pPr>
        <w:pStyle w:val="a5"/>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E568AA5" w14:textId="77777777" w:rsidR="000C2509" w:rsidRPr="00584DE4" w:rsidRDefault="000C2509" w:rsidP="000C2509">
      <w:pPr>
        <w:pStyle w:val="a5"/>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4911A033" w14:textId="77777777" w:rsidR="000C2509" w:rsidRPr="00584DE4" w:rsidRDefault="000C2509" w:rsidP="000C2509">
      <w:pPr>
        <w:numPr>
          <w:ilvl w:val="0"/>
          <w:numId w:val="1"/>
        </w:numPr>
        <w:tabs>
          <w:tab w:val="left" w:pos="777"/>
        </w:tabs>
        <w:spacing w:after="60"/>
        <w:ind w:left="34" w:firstLine="284"/>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Pr>
          <w:lang w:eastAsia="uk-UA"/>
        </w:rPr>
        <w:t xml:space="preserve"> </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t xml:space="preserve"> </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443BB093" w14:textId="77777777" w:rsidR="000C2509" w:rsidRPr="00584DE4" w:rsidRDefault="000C2509" w:rsidP="000C2509">
      <w:pPr>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 xml:space="preserve">та учасник не надає відповідного протокольного рішення </w:t>
      </w:r>
      <w:r w:rsidRPr="003E4898">
        <w:rPr>
          <w:lang w:eastAsia="uk-UA"/>
        </w:rPr>
        <w:lastRenderedPageBreak/>
        <w:t>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14:paraId="40F1CE65" w14:textId="314E0EAB" w:rsidR="000C2509" w:rsidRPr="00584DE4" w:rsidRDefault="000C2509" w:rsidP="000C2509">
      <w:pPr>
        <w:ind w:firstLine="494"/>
        <w:jc w:val="both"/>
        <w:rPr>
          <w:u w:val="single"/>
          <w:lang w:eastAsia="uk-UA"/>
        </w:rPr>
      </w:pP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14:paraId="1787CE1D" w14:textId="77777777" w:rsidR="000C2509" w:rsidRPr="00584DE4" w:rsidRDefault="000C2509" w:rsidP="000C2509">
      <w:pPr>
        <w:ind w:firstLine="494"/>
        <w:jc w:val="both"/>
        <w:rPr>
          <w:u w:val="single"/>
          <w:lang w:eastAsia="uk-UA"/>
        </w:rPr>
      </w:pPr>
      <w:r w:rsidRPr="003E4898">
        <w:rPr>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14:paraId="4FFAE4B5" w14:textId="77777777" w:rsidR="000C2509" w:rsidRPr="00584DE4" w:rsidRDefault="000C2509" w:rsidP="000C2509">
      <w:pPr>
        <w:pStyle w:val="a5"/>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u w:val="single"/>
          <w:lang w:eastAsia="uk-UA"/>
        </w:rPr>
        <w:t xml:space="preserve">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6724DA1B" w14:textId="77777777" w:rsidR="000C2509" w:rsidRPr="00584DE4" w:rsidRDefault="000C2509" w:rsidP="000C2509">
      <w:pPr>
        <w:pStyle w:val="a5"/>
        <w:jc w:val="both"/>
      </w:pPr>
    </w:p>
    <w:p w14:paraId="0BD01C4C" w14:textId="77777777" w:rsidR="000C2509" w:rsidRPr="00584DE4" w:rsidRDefault="000C2509" w:rsidP="000C2509">
      <w:pPr>
        <w:pStyle w:val="a5"/>
        <w:jc w:val="both"/>
      </w:pPr>
      <w:r w:rsidRPr="00584DE4">
        <w:rPr>
          <w:u w:val="single"/>
        </w:rPr>
        <w:t>Для фізичних осіб-підприємців:</w:t>
      </w:r>
    </w:p>
    <w:p w14:paraId="49DA44F5" w14:textId="77777777" w:rsidR="000C2509" w:rsidRPr="00584DE4" w:rsidRDefault="000C2509" w:rsidP="000C2509">
      <w:pPr>
        <w:pStyle w:val="a5"/>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5594516E" w14:textId="77777777" w:rsidR="000C2509" w:rsidRPr="00584DE4" w:rsidRDefault="000C2509" w:rsidP="000C2509">
      <w:pPr>
        <w:pStyle w:val="a5"/>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14:paraId="3604CE6A" w14:textId="77777777" w:rsidR="000C2509" w:rsidRPr="00584DE4" w:rsidRDefault="000C2509" w:rsidP="000C2509">
      <w:pPr>
        <w:pStyle w:val="a5"/>
        <w:jc w:val="both"/>
      </w:pPr>
    </w:p>
    <w:p w14:paraId="716F9019" w14:textId="568BD993" w:rsidR="000C2509" w:rsidRDefault="000C2509" w:rsidP="000C2509">
      <w:pPr>
        <w:pStyle w:val="a5"/>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7ED0E7E8" w14:textId="77777777" w:rsidR="000C2509" w:rsidRDefault="000C2509" w:rsidP="000C2509">
      <w:pPr>
        <w:pStyle w:val="a5"/>
        <w:jc w:val="center"/>
        <w:rPr>
          <w:b/>
        </w:rPr>
      </w:pPr>
    </w:p>
    <w:p w14:paraId="61BBCDF7" w14:textId="758C07F2" w:rsidR="000C2509" w:rsidRDefault="000C2509" w:rsidP="000C2509">
      <w:pPr>
        <w:pStyle w:val="a5"/>
        <w:jc w:val="center"/>
        <w:rPr>
          <w:b/>
        </w:rPr>
      </w:pPr>
      <w:r>
        <w:rPr>
          <w:b/>
        </w:rPr>
        <w:t xml:space="preserve">2.2. </w:t>
      </w:r>
      <w:r w:rsidRPr="009E1AF1">
        <w:rPr>
          <w:b/>
        </w:rPr>
        <w:t>Відомості щодо сплати податків та зборів ( у разі наявності):</w:t>
      </w:r>
    </w:p>
    <w:p w14:paraId="3964EA81" w14:textId="77777777" w:rsidR="000C2509" w:rsidRDefault="000C2509" w:rsidP="000C2509">
      <w:pPr>
        <w:pStyle w:val="a5"/>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14:paraId="6F852A68" w14:textId="77777777" w:rsidR="000C2509" w:rsidRPr="009E1AF1" w:rsidRDefault="000C2509" w:rsidP="000C2509">
      <w:pPr>
        <w:pStyle w:val="a5"/>
        <w:jc w:val="both"/>
      </w:pPr>
    </w:p>
    <w:p w14:paraId="62B8C5ED" w14:textId="77777777" w:rsidR="000C2509" w:rsidRDefault="000C2509" w:rsidP="000C2509">
      <w:pPr>
        <w:pStyle w:val="a5"/>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14:paraId="658DEF89" w14:textId="77777777" w:rsidR="000C2509" w:rsidRDefault="000C2509" w:rsidP="000C2509">
      <w:pPr>
        <w:pStyle w:val="a5"/>
        <w:jc w:val="both"/>
      </w:pPr>
    </w:p>
    <w:p w14:paraId="4E26C38A" w14:textId="2BC83C56" w:rsidR="000C2509" w:rsidRPr="00E42D39" w:rsidRDefault="000C2509" w:rsidP="000C2509">
      <w:pPr>
        <w:pStyle w:val="a5"/>
        <w:jc w:val="both"/>
      </w:pPr>
      <w:r w:rsidRPr="009E1AF1">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E1AF1">
        <w:t>свідоцтв</w:t>
      </w:r>
      <w:proofErr w:type="spellEnd"/>
      <w:r w:rsidR="00E42D39">
        <w:t>.</w:t>
      </w:r>
    </w:p>
    <w:p w14:paraId="20DC6CDD" w14:textId="77777777" w:rsidR="000C2509" w:rsidRDefault="000C2509" w:rsidP="000C2509">
      <w:pPr>
        <w:pStyle w:val="a5"/>
        <w:jc w:val="both"/>
      </w:pPr>
    </w:p>
    <w:p w14:paraId="2F5DE87B" w14:textId="4B5D9BBE" w:rsidR="000C2509" w:rsidRPr="0081412B" w:rsidRDefault="000C2509" w:rsidP="000C2509">
      <w:pPr>
        <w:jc w:val="center"/>
        <w:rPr>
          <w:b/>
        </w:rPr>
      </w:pPr>
      <w:r>
        <w:t>2.3.</w:t>
      </w:r>
      <w:r w:rsidRPr="000C2509">
        <w:rPr>
          <w:b/>
        </w:rPr>
        <w:t xml:space="preserve"> </w:t>
      </w:r>
      <w:r w:rsidRPr="0081412B">
        <w:rPr>
          <w:b/>
        </w:rPr>
        <w:t>Лист-гарантія в довільній формі:</w:t>
      </w:r>
    </w:p>
    <w:p w14:paraId="6ADB4514" w14:textId="1ACE7202" w:rsidR="000C2509" w:rsidRDefault="000C2509" w:rsidP="000C2509">
      <w:pPr>
        <w:pStyle w:val="a5"/>
        <w:ind w:firstLine="708"/>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14:paraId="7CF8743D" w14:textId="62904D3B" w:rsidR="000C2509" w:rsidRDefault="000C2509" w:rsidP="000C2509">
      <w:pPr>
        <w:pStyle w:val="a5"/>
        <w:jc w:val="both"/>
      </w:pPr>
    </w:p>
    <w:p w14:paraId="69083AF1" w14:textId="77777777" w:rsidR="000C2509" w:rsidRPr="00502C6D" w:rsidRDefault="000C2509" w:rsidP="000C2509">
      <w:pPr>
        <w:ind w:left="2" w:right="58" w:firstLine="706"/>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BCA2EDA" w14:textId="77777777" w:rsidR="000C2509" w:rsidRPr="00502C6D" w:rsidRDefault="000C2509" w:rsidP="000C2509">
      <w:pPr>
        <w:ind w:left="2" w:right="58"/>
        <w:jc w:val="both"/>
      </w:pPr>
      <w:r w:rsidRPr="00502C6D">
        <w:lastRenderedPageBreak/>
        <w:t>- громадяни Російської Федерації, крім тих, що проживають на території України на законних підставах;</w:t>
      </w:r>
    </w:p>
    <w:p w14:paraId="16745257" w14:textId="77777777" w:rsidR="000C2509" w:rsidRPr="00502C6D" w:rsidRDefault="000C2509" w:rsidP="000C2509">
      <w:pPr>
        <w:ind w:left="2" w:right="58"/>
        <w:jc w:val="both"/>
      </w:pPr>
      <w:r w:rsidRPr="00502C6D">
        <w:t>- юридичні особи, створені та зареєстровані відповідно до законодавства Російської Федерації;</w:t>
      </w:r>
    </w:p>
    <w:p w14:paraId="078791E0" w14:textId="77777777" w:rsidR="000C2509" w:rsidRPr="00502C6D" w:rsidRDefault="000C2509" w:rsidP="000C2509">
      <w:pPr>
        <w:ind w:left="2" w:right="58"/>
        <w:jc w:val="both"/>
      </w:pPr>
      <w:r w:rsidRPr="00502C6D">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6F3EFAD" w14:textId="77777777" w:rsidR="000C2509" w:rsidRPr="00502C6D" w:rsidRDefault="000C2509" w:rsidP="000C2509">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14:paraId="073EAD9F" w14:textId="77777777" w:rsidR="000C2509" w:rsidRPr="00502C6D" w:rsidRDefault="000C2509" w:rsidP="000C2509">
      <w:pPr>
        <w:ind w:left="2" w:right="58"/>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A97644A" w14:textId="77777777" w:rsidR="000C2509" w:rsidRPr="00502C6D" w:rsidRDefault="000C2509" w:rsidP="000C2509">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6CEF0ED9" w14:textId="77777777" w:rsidR="000C2509" w:rsidRPr="00502C6D" w:rsidRDefault="000C2509" w:rsidP="000C2509">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A197BDE" w14:textId="77777777" w:rsidR="000C2509" w:rsidRPr="00502C6D" w:rsidRDefault="000C2509" w:rsidP="00EF63CB">
      <w:pPr>
        <w:ind w:left="2" w:right="58" w:firstLine="706"/>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14:paraId="2EB1AFD1" w14:textId="77777777" w:rsidR="000C2509" w:rsidRPr="00502C6D" w:rsidRDefault="000C2509" w:rsidP="000C2509">
      <w:pPr>
        <w:ind w:left="2" w:right="58"/>
        <w:jc w:val="both"/>
      </w:pPr>
      <w:r w:rsidRPr="00502C6D">
        <w:t>- інформацію про кінцевого(</w:t>
      </w:r>
      <w:proofErr w:type="spellStart"/>
      <w:r w:rsidRPr="00502C6D">
        <w:t>их</w:t>
      </w:r>
      <w:proofErr w:type="spellEnd"/>
      <w:r w:rsidRPr="00502C6D">
        <w:t>) бенефеціарного(</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14:paraId="71B2B94B" w14:textId="77777777" w:rsidR="000C2509" w:rsidRPr="00502C6D" w:rsidRDefault="000C2509" w:rsidP="000C2509">
      <w:pPr>
        <w:ind w:left="2" w:right="58"/>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14:paraId="707B6050" w14:textId="77777777" w:rsidR="000C2509" w:rsidRPr="00502C6D" w:rsidRDefault="000C2509" w:rsidP="000C2509">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82AD6D2" w14:textId="77777777" w:rsidR="000C2509" w:rsidRPr="00502C6D" w:rsidRDefault="000C2509" w:rsidP="000C2509">
      <w:pPr>
        <w:ind w:left="2" w:right="58"/>
        <w:jc w:val="both"/>
      </w:pPr>
      <w:r w:rsidRPr="00502C6D">
        <w:t>б) посвідку на постійне чи тимчасове проживання на території України;</w:t>
      </w:r>
    </w:p>
    <w:p w14:paraId="2E801693" w14:textId="77777777" w:rsidR="000C2509" w:rsidRPr="00502C6D" w:rsidRDefault="000C2509" w:rsidP="000C2509">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14:paraId="02EEC88B" w14:textId="77777777" w:rsidR="000C2509" w:rsidRPr="00E42D39" w:rsidRDefault="000C2509" w:rsidP="000C2509">
      <w:pPr>
        <w:ind w:left="2" w:right="58"/>
        <w:jc w:val="both"/>
      </w:pPr>
      <w:r w:rsidRPr="00502C6D">
        <w:t xml:space="preserve">г) посвідчення </w:t>
      </w:r>
      <w:r w:rsidRPr="00E42D39">
        <w:t>біженця чи документ, що підтверджує надання притулку в Україні (стаття 1 Закону України «Про громадянство України»).</w:t>
      </w:r>
    </w:p>
    <w:p w14:paraId="54EFC10D" w14:textId="3E1D45AF" w:rsidR="000C2509" w:rsidRPr="00E42D39" w:rsidRDefault="000C2509" w:rsidP="000C2509">
      <w:pPr>
        <w:pStyle w:val="a5"/>
        <w:jc w:val="both"/>
      </w:pPr>
      <w:r w:rsidRPr="00E42D39">
        <w:t>*Згідно роз'яснення Міністерства юстиції України від 08.03.2022 № 24560/8.1.3/10-22</w:t>
      </w:r>
    </w:p>
    <w:p w14:paraId="07FDF530" w14:textId="34B3F4C0" w:rsidR="000C2509" w:rsidRPr="00E42D39" w:rsidRDefault="000C2509" w:rsidP="000C2509">
      <w:pPr>
        <w:pStyle w:val="a5"/>
        <w:jc w:val="both"/>
      </w:pPr>
    </w:p>
    <w:p w14:paraId="76C13A12" w14:textId="39233E99" w:rsidR="000C2509" w:rsidRPr="00E42D39" w:rsidRDefault="000C2509" w:rsidP="000C2509">
      <w:pPr>
        <w:pStyle w:val="a5"/>
        <w:jc w:val="both"/>
      </w:pPr>
      <w:r w:rsidRPr="00E42D39">
        <w:t xml:space="preserve">2.4 </w:t>
      </w:r>
      <w:r w:rsidRPr="00E42D39">
        <w:rPr>
          <w:b/>
        </w:rPr>
        <w:t>Гарантійний лист</w:t>
      </w:r>
      <w:r w:rsidRPr="00E42D39">
        <w:t xml:space="preserve"> про те, що місцезнаходженням (місцем проживання) суб’єкта господарювання, який є учасником, не є тимчасово окупована територія.</w:t>
      </w:r>
      <w:r w:rsidRPr="00E42D39">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42D39">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4D9AE563" w14:textId="7FACF0D2" w:rsidR="0065045A" w:rsidRDefault="000C2509" w:rsidP="000C2509">
      <w:pPr>
        <w:pStyle w:val="a5"/>
        <w:jc w:val="both"/>
      </w:pPr>
      <w:r>
        <w:rPr>
          <w:sz w:val="22"/>
          <w:szCs w:val="22"/>
        </w:rPr>
        <w:lastRenderedPageBreak/>
        <w:t xml:space="preserve">2.5. </w:t>
      </w:r>
      <w:r>
        <w:rPr>
          <w:b/>
        </w:rPr>
        <w:t xml:space="preserve">Гарантійний лист </w:t>
      </w:r>
      <w:r w:rsidRPr="002430FF">
        <w:t xml:space="preserve">про те, що </w:t>
      </w:r>
      <w:r w:rsidRPr="002D1EB8">
        <w:t>учасник не</w:t>
      </w:r>
      <w:r>
        <w:t xml:space="preserve"> є </w:t>
      </w:r>
      <w:r w:rsidR="0065045A">
        <w:rPr>
          <w:color w:val="333333"/>
          <w:shd w:val="clear" w:color="auto" w:fill="FFFFFF"/>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0065045A" w:rsidRPr="0065045A">
          <w:rPr>
            <w:rStyle w:val="a7"/>
            <w:color w:val="auto"/>
            <w:u w:val="none"/>
            <w:shd w:val="clear" w:color="auto" w:fill="FFFFFF"/>
          </w:rPr>
          <w:t>№ 1178</w:t>
        </w:r>
      </w:hyperlink>
      <w:r w:rsidR="0065045A" w:rsidRPr="0065045A">
        <w:rPr>
          <w:shd w:val="clear" w:color="auto" w:fill="FFFFFF"/>
        </w:rPr>
        <w:t> </w:t>
      </w:r>
      <w:r w:rsidR="0065045A">
        <w:rPr>
          <w:color w:val="333333"/>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3BC398" w14:textId="77777777" w:rsidR="0065045A" w:rsidRDefault="0065045A" w:rsidP="000C2509">
      <w:pPr>
        <w:pStyle w:val="a5"/>
        <w:jc w:val="both"/>
      </w:pPr>
    </w:p>
    <w:p w14:paraId="1D09622A" w14:textId="4F1E1A62" w:rsidR="000C2509" w:rsidRDefault="000C2509" w:rsidP="000C2509">
      <w:pPr>
        <w:pStyle w:val="a5"/>
        <w:jc w:val="both"/>
        <w:rPr>
          <w:position w:val="-1"/>
        </w:rPr>
      </w:pPr>
      <w:r>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14:paraId="35D808FE" w14:textId="77777777" w:rsidR="000C2509" w:rsidRDefault="000C2509" w:rsidP="000C2509">
      <w:pPr>
        <w:ind w:right="15"/>
        <w:jc w:val="both"/>
        <w:textAlignment w:val="baseline"/>
        <w:rPr>
          <w:sz w:val="22"/>
          <w:szCs w:val="22"/>
        </w:rPr>
      </w:pPr>
    </w:p>
    <w:p w14:paraId="5B328FE6" w14:textId="2241153A" w:rsidR="000C2509" w:rsidRPr="00E42D39" w:rsidRDefault="000C2509" w:rsidP="000C2509">
      <w:pPr>
        <w:ind w:right="15"/>
        <w:jc w:val="both"/>
        <w:textAlignment w:val="baseline"/>
      </w:pPr>
      <w:r w:rsidRPr="00E42D39">
        <w:t xml:space="preserve">Для учасників-юридичних осіб - у разі відсутності у </w:t>
      </w:r>
      <w:r w:rsidRPr="00E42D39">
        <w:rPr>
          <w:lang w:eastAsia="uk-UA"/>
        </w:rPr>
        <w:t xml:space="preserve">Єдиному державному реєстрі юридичних осіб, фізичних осіб - підприємців та громадських формувань </w:t>
      </w:r>
      <w:r w:rsidRPr="00E42D39">
        <w:t xml:space="preserve">інформації, передбаченої </w:t>
      </w:r>
      <w:r w:rsidRPr="00E42D39">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42D39">
        <w:t xml:space="preserve">, про кінцевого </w:t>
      </w:r>
      <w:proofErr w:type="spellStart"/>
      <w:r w:rsidRPr="00E42D39">
        <w:t>бенефіціарного</w:t>
      </w:r>
      <w:proofErr w:type="spellEnd"/>
      <w:r w:rsidRPr="00E42D39">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42D39">
        <w:t>бенефіціарного</w:t>
      </w:r>
      <w:proofErr w:type="spellEnd"/>
      <w:r w:rsidRPr="00E42D39">
        <w:t xml:space="preserve"> власника (контролера) у Єдиному </w:t>
      </w:r>
      <w:r w:rsidRPr="00E42D39">
        <w:rPr>
          <w:lang w:eastAsia="uk-UA"/>
        </w:rPr>
        <w:t>державному реєстрі юридичних осіб, фізичних осіб - підприємців та громадських формувань</w:t>
      </w:r>
      <w:r w:rsidRPr="00E42D39">
        <w:t>* з посиланням на відповідні положення чинного законодавства України;</w:t>
      </w:r>
    </w:p>
    <w:p w14:paraId="50E6F2C0" w14:textId="3DC74F7C" w:rsidR="000C2509" w:rsidRPr="00E42D39" w:rsidRDefault="000C2509" w:rsidP="000C2509">
      <w:pPr>
        <w:pStyle w:val="a5"/>
        <w:jc w:val="both"/>
        <w:rPr>
          <w:position w:val="-1"/>
        </w:rPr>
      </w:pPr>
      <w:r w:rsidRPr="00E42D39">
        <w:rPr>
          <w:i/>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E42D39">
        <w:rPr>
          <w:i/>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42D39">
        <w:rPr>
          <w:i/>
        </w:rPr>
        <w:t xml:space="preserve">, про кінцевого </w:t>
      </w:r>
      <w:proofErr w:type="spellStart"/>
      <w:r w:rsidRPr="00E42D39">
        <w:rPr>
          <w:i/>
        </w:rPr>
        <w:t>бенефіціарного</w:t>
      </w:r>
      <w:proofErr w:type="spellEnd"/>
      <w:r w:rsidRPr="00E42D39">
        <w:rPr>
          <w:i/>
        </w:rPr>
        <w:t xml:space="preserve"> власника (контролера) юридичної особи, яка є учасником, у Єдиному </w:t>
      </w:r>
      <w:r w:rsidRPr="00E42D39">
        <w:rPr>
          <w:i/>
          <w:lang w:eastAsia="uk-UA"/>
        </w:rPr>
        <w:t>державному реєстрі юридичних осіб, фізичних осіб - підприємців та громадських формувань</w:t>
      </w:r>
    </w:p>
    <w:p w14:paraId="39396A48" w14:textId="5CEE4AEF" w:rsidR="000C2509" w:rsidRDefault="000C2509" w:rsidP="000C2509">
      <w:pPr>
        <w:pStyle w:val="a5"/>
        <w:ind w:firstLine="708"/>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14:paraId="59D07626" w14:textId="77777777" w:rsidR="000C2509" w:rsidRDefault="000C2509" w:rsidP="000C2509">
      <w:pPr>
        <w:pStyle w:val="a5"/>
        <w:jc w:val="both"/>
      </w:pPr>
    </w:p>
    <w:p w14:paraId="3425DE8D" w14:textId="77777777" w:rsidR="002C48AA" w:rsidRPr="00DD3B90" w:rsidRDefault="002C48AA" w:rsidP="000C2509">
      <w:pPr>
        <w:widowControl w:val="0"/>
        <w:spacing w:line="276" w:lineRule="auto"/>
        <w:ind w:firstLine="709"/>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2BD7A8EE" w14:textId="77777777" w:rsidR="002C48AA" w:rsidRPr="00DD3B90" w:rsidRDefault="002C48AA" w:rsidP="002C48AA">
      <w:pPr>
        <w:widowControl w:val="0"/>
        <w:spacing w:line="276" w:lineRule="auto"/>
        <w:ind w:firstLine="709"/>
        <w:jc w:val="both"/>
        <w:rPr>
          <w:u w:val="single"/>
        </w:rPr>
      </w:pPr>
      <w:r w:rsidRPr="00DD3B90">
        <w:rPr>
          <w:u w:val="single"/>
        </w:rPr>
        <w:t>У разі подання пропозиції філією (представництвом):</w:t>
      </w:r>
    </w:p>
    <w:p w14:paraId="0B7886E9" w14:textId="77777777" w:rsidR="002C48AA" w:rsidRPr="00DD3B90" w:rsidRDefault="002C48AA" w:rsidP="002C48AA">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29DC40F5" w14:textId="77777777" w:rsidR="002C48AA" w:rsidRPr="00DD3B90" w:rsidRDefault="002C48AA" w:rsidP="002C48AA">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w:t>
      </w:r>
      <w:r>
        <w:t xml:space="preserve"> </w:t>
      </w:r>
      <w:r w:rsidRPr="00DD3B90">
        <w:t>уповноваженої особи філії (представництва).</w:t>
      </w:r>
    </w:p>
    <w:p w14:paraId="01B4C635" w14:textId="77777777" w:rsidR="002C48AA" w:rsidRPr="00D92F60" w:rsidRDefault="002C48AA" w:rsidP="002C48AA">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0F249282"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14:paraId="09154200"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0F91AA08"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p>
    <w:p w14:paraId="6234B8F0" w14:textId="77777777" w:rsidR="002C48AA" w:rsidRPr="00E551EF"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14:paraId="1BA7CCB2" w14:textId="77777777" w:rsidR="002C48AA" w:rsidRDefault="002C48AA" w:rsidP="002C48AA">
      <w:pPr>
        <w:tabs>
          <w:tab w:val="left" w:pos="0"/>
        </w:tabs>
        <w:ind w:right="-25"/>
        <w:jc w:val="both"/>
        <w:rPr>
          <w:bCs/>
          <w:color w:val="000000"/>
        </w:rPr>
      </w:pPr>
    </w:p>
    <w:p w14:paraId="0F6485A9" w14:textId="77777777" w:rsidR="002C48AA" w:rsidRPr="00F36EC8" w:rsidRDefault="002C48AA" w:rsidP="002C48AA">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F36EC8" w:rsidSect="00E42D3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AA"/>
    <w:rsid w:val="000C2509"/>
    <w:rsid w:val="00134C5E"/>
    <w:rsid w:val="002C48AA"/>
    <w:rsid w:val="00341979"/>
    <w:rsid w:val="003E4898"/>
    <w:rsid w:val="0065045A"/>
    <w:rsid w:val="0078212B"/>
    <w:rsid w:val="007E68D2"/>
    <w:rsid w:val="008620EC"/>
    <w:rsid w:val="0097107D"/>
    <w:rsid w:val="00B76A37"/>
    <w:rsid w:val="00BC37F8"/>
    <w:rsid w:val="00C76135"/>
    <w:rsid w:val="00DB03D5"/>
    <w:rsid w:val="00E42D39"/>
    <w:rsid w:val="00EF63C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65B2"/>
  <w15:chartTrackingRefBased/>
  <w15:docId w15:val="{7E9F9BD8-E30E-4033-B33D-44D8A4B3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и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інтервалів Знак"/>
    <w:link w:val="a5"/>
    <w:uiPriority w:val="99"/>
    <w:rsid w:val="002C48AA"/>
    <w:rPr>
      <w:rFonts w:ascii="Times New Roman" w:eastAsia="Times New Roman" w:hAnsi="Times New Roman" w:cs="Times New Roman"/>
      <w:sz w:val="24"/>
      <w:szCs w:val="24"/>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12800</Words>
  <Characters>7297</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Пользователь Windows</cp:lastModifiedBy>
  <cp:revision>7</cp:revision>
  <dcterms:created xsi:type="dcterms:W3CDTF">2022-10-24T07:58:00Z</dcterms:created>
  <dcterms:modified xsi:type="dcterms:W3CDTF">2023-03-13T19:52:00Z</dcterms:modified>
</cp:coreProperties>
</file>