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hanging="2"/>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0" w:hanging="2"/>
        <w:jc w:val="right"/>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ДОДАТОК  2</w:t>
      </w:r>
    </w:p>
    <w:p>
      <w:pPr>
        <w:pStyle w:val="Normal"/>
        <w:spacing w:lineRule="auto" w:line="240" w:before="0" w:after="0"/>
        <w:ind w:left="0" w:hanging="2"/>
        <w:jc w:val="right"/>
        <w:rPr>
          <w:rFonts w:ascii="Times New Roman" w:hAnsi="Times New Roman" w:eastAsia="Times New Roman" w:cs="Times New Roman"/>
          <w:color w:val="000000"/>
          <w:sz w:val="24"/>
          <w:szCs w:val="24"/>
        </w:rPr>
      </w:pPr>
      <w:r>
        <w:rPr>
          <w:rFonts w:eastAsia="Times New Roman" w:cs="Times New Roman" w:ascii="Times New Roman" w:hAnsi="Times New Roman"/>
          <w:b/>
          <w:bCs/>
          <w:i/>
          <w:color w:val="000000"/>
          <w:sz w:val="24"/>
          <w:szCs w:val="24"/>
        </w:rPr>
        <w:t xml:space="preserve">до тендерної документації по </w:t>
      </w:r>
      <w:r>
        <w:rPr>
          <w:rFonts w:eastAsia="Times New Roman" w:cs="Times New Roman" w:ascii="Times New Roman" w:hAnsi="Times New Roman"/>
          <w:b/>
          <w:bCs/>
          <w:i/>
          <w:color w:val="000000"/>
          <w:sz w:val="24"/>
          <w:szCs w:val="24"/>
          <w:lang w:val="ru-RU"/>
        </w:rPr>
        <w:t xml:space="preserve">ДК 021:2015 </w:t>
      </w:r>
      <w:r>
        <w:rPr>
          <w:rFonts w:eastAsia="Times New Roman" w:cs="Times New Roman" w:ascii="Times New Roman" w:hAnsi="Times New Roman"/>
          <w:b/>
          <w:bCs/>
          <w:i/>
          <w:color w:val="000000"/>
          <w:kern w:val="2"/>
          <w:sz w:val="24"/>
          <w:szCs w:val="24"/>
          <w:lang w:val="uk-UA" w:eastAsia="uk-UA" w:bidi="ar-SA"/>
        </w:rPr>
        <w:t>Єдиний закупівельний словник</w:t>
      </w:r>
      <w:r>
        <w:rPr>
          <w:rFonts w:eastAsia="Times New Roman" w:cs="Times New Roman" w:ascii="Times New Roman" w:hAnsi="Times New Roman"/>
          <w:b/>
          <w:bCs/>
          <w:i/>
          <w:color w:val="000000"/>
          <w:sz w:val="24"/>
          <w:szCs w:val="24"/>
          <w:lang w:val="ru-RU"/>
        </w:rPr>
        <w:t xml:space="preserve">: </w:t>
      </w:r>
      <w:r>
        <w:rPr>
          <w:rFonts w:eastAsia="Times New Roman" w:cs="Times New Roman" w:ascii="Times New Roman" w:hAnsi="Times New Roman"/>
          <w:b/>
          <w:bCs/>
          <w:i/>
          <w:color w:val="000000"/>
          <w:kern w:val="2"/>
          <w:sz w:val="24"/>
          <w:szCs w:val="24"/>
          <w:lang w:val="uk-UA" w:eastAsia="uk-UA" w:bidi="ar-SA"/>
        </w:rPr>
        <w:t>09120000-6 Газове паливо (09123000-7 Природний газ)</w:t>
      </w:r>
      <w:r>
        <w:rPr>
          <w:rFonts w:eastAsia="Times New Roman" w:cs="Times New Roman" w:ascii="Times New Roman" w:hAnsi="Times New Roman"/>
          <w:b/>
          <w:bCs/>
          <w:color w:val="000000"/>
          <w:sz w:val="24"/>
          <w:szCs w:val="24"/>
        </w:rPr>
        <w:t> </w:t>
      </w:r>
      <w:r>
        <w:rPr>
          <w:rFonts w:eastAsia="Times New Roman" w:cs="Times New Roman" w:ascii="Times New Roman" w:hAnsi="Times New Roman"/>
          <w:color w:val="000000"/>
          <w:sz w:val="24"/>
          <w:szCs w:val="24"/>
        </w:rPr>
        <w:t xml:space="preserve"> </w:t>
      </w:r>
    </w:p>
    <w:p>
      <w:pPr>
        <w:pStyle w:val="Normal"/>
        <w:spacing w:lineRule="auto" w:line="240" w:before="0" w:after="0"/>
        <w:ind w:left="0" w:hanging="2"/>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left="0" w:hanging="2"/>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left="0" w:hanging="2"/>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ind w:left="0" w:hanging="2"/>
        <w:jc w:val="center"/>
        <w:rPr>
          <w:rFonts w:ascii="Times New Roman" w:hAnsi="Times New Roman" w:eastAsia="Times New Roman" w:cs="Times New Roman"/>
          <w:color w:val="000000"/>
          <w:sz w:val="24"/>
          <w:szCs w:val="24"/>
        </w:rPr>
      </w:pPr>
      <w:r>
        <w:rPr>
          <w:rFonts w:eastAsia="Times New Roman" w:cs="Times New Roman" w:ascii="Times New Roman" w:hAnsi="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r>
        <w:rPr>
          <w:rFonts w:eastAsia="Times New Roman" w:cs="Times New Roman" w:ascii="Times New Roman" w:hAnsi="Times New Roman"/>
          <w:b/>
          <w:i/>
          <w:sz w:val="24"/>
          <w:szCs w:val="24"/>
          <w:highlight w:val="white"/>
        </w:rPr>
        <w:t>–</w:t>
      </w:r>
      <w:r>
        <w:rPr>
          <w:rFonts w:eastAsia="Times New Roman" w:cs="Times New Roman" w:ascii="Times New Roman" w:hAnsi="Times New Roman"/>
          <w:b/>
          <w:i/>
          <w:color w:val="000000"/>
          <w:sz w:val="24"/>
          <w:szCs w:val="24"/>
          <w:highlight w:val="white"/>
        </w:rPr>
        <w:t xml:space="preserve"> технічні вимоги до предмета закупівлі</w:t>
      </w:r>
    </w:p>
    <w:p>
      <w:pPr>
        <w:pStyle w:val="Normal"/>
        <w:spacing w:lineRule="auto" w:line="240" w:before="240" w:after="0"/>
        <w:ind w:left="0" w:hanging="2"/>
        <w:jc w:val="center"/>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b/>
          <w:i/>
          <w:color w:val="000000"/>
          <w:sz w:val="24"/>
          <w:szCs w:val="24"/>
          <w:highlight w:val="white"/>
        </w:rPr>
        <w:t>ТЕХНІЧНА СПЕЦИФІКАЦІЯ</w:t>
      </w:r>
    </w:p>
    <w:p>
      <w:pPr>
        <w:pStyle w:val="Normal"/>
        <w:spacing w:lineRule="auto" w:line="240" w:before="0" w:after="0"/>
        <w:ind w:left="0" w:hanging="2"/>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Замовник самостійно визначає необхідні технічні характеристики предмета закупівлі </w:t>
      </w:r>
      <w:r>
        <w:rPr>
          <w:rFonts w:eastAsia="Times New Roman" w:cs="Times New Roman" w:ascii="Times New Roman" w:hAnsi="Times New Roman"/>
          <w:sz w:val="24"/>
          <w:szCs w:val="24"/>
        </w:rPr>
        <w:t>з огляду на</w:t>
      </w:r>
      <w:r>
        <w:rPr>
          <w:rFonts w:eastAsia="Times New Roman" w:cs="Times New Roman" w:ascii="Times New Roman" w:hAnsi="Times New Roman"/>
          <w:color w:val="000000"/>
          <w:sz w:val="24"/>
          <w:szCs w:val="24"/>
        </w:rPr>
        <w:t xml:space="preserve"> специфік</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предмета закупівлі, керуючись принципами здійснення закупівель та з дотриманням законодавства.</w:t>
      </w:r>
    </w:p>
    <w:p>
      <w:pPr>
        <w:pStyle w:val="Normal"/>
        <w:spacing w:lineRule="auto" w:line="240" w:before="0" w:after="0"/>
        <w:ind w:left="0" w:hanging="2"/>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Фактом подання тендерної пропозиції учасник підтверджує відповідність своєї пропозиції</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color w:val="000000"/>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Pr>
          <w:rFonts w:eastAsia="Times New Roman" w:cs="Times New Roman" w:ascii="Times New Roman" w:hAnsi="Times New Roman"/>
          <w:b/>
          <w:sz w:val="24"/>
          <w:szCs w:val="24"/>
        </w:rPr>
        <w:t>а</w:t>
      </w:r>
      <w:r>
        <w:rPr>
          <w:rFonts w:eastAsia="Times New Roman" w:cs="Times New Roman" w:ascii="Times New Roman" w:hAnsi="Times New Roman"/>
          <w:b/>
          <w:color w:val="000000"/>
          <w:sz w:val="24"/>
          <w:szCs w:val="24"/>
        </w:rPr>
        <w:t xml:space="preserve"> закупівлі, що містяться в тендерній документації та цьому додатку, а також підтверджує можливість поставки товару</w:t>
      </w:r>
      <w:r>
        <w:rPr>
          <w:rFonts w:eastAsia="Times New Roman" w:cs="Times New Roman" w:ascii="Times New Roman" w:hAnsi="Times New Roman"/>
          <w:b/>
          <w:sz w:val="24"/>
          <w:szCs w:val="24"/>
        </w:rPr>
        <w:t xml:space="preserve"> в</w:t>
      </w:r>
      <w:r>
        <w:rPr>
          <w:rFonts w:eastAsia="Times New Roman" w:cs="Times New Roman" w:ascii="Times New Roman" w:hAnsi="Times New Roman"/>
          <w:b/>
          <w:color w:val="000000"/>
          <w:sz w:val="24"/>
          <w:szCs w:val="24"/>
        </w:rPr>
        <w:t>ідповідно до вимог, визначених згідно з умовами тендерної документації.</w:t>
      </w:r>
    </w:p>
    <w:p>
      <w:pPr>
        <w:pStyle w:val="Normal"/>
        <w:spacing w:lineRule="auto" w:line="240" w:before="0" w:after="0"/>
        <w:ind w:left="0" w:hanging="2"/>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highlight w:val="white"/>
        </w:rPr>
        <w:t>У</w:t>
      </w:r>
      <w:r>
        <w:rPr>
          <w:rFonts w:eastAsia="Times New Roman" w:cs="Times New Roman" w:ascii="Times New Roman" w:hAnsi="Times New Roman"/>
          <w:color w:val="000000"/>
          <w:sz w:val="24"/>
          <w:szCs w:val="24"/>
          <w:highlight w:val="white"/>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eastAsia="Times New Roman" w:cs="Times New Roman" w:ascii="Times New Roman" w:hAnsi="Times New Roman"/>
          <w:b/>
          <w:sz w:val="24"/>
          <w:szCs w:val="24"/>
          <w:highlight w:val="white"/>
        </w:rPr>
        <w:t>«</w:t>
      </w:r>
      <w:r>
        <w:rPr>
          <w:rFonts w:eastAsia="Times New Roman" w:cs="Times New Roman" w:ascii="Times New Roman" w:hAnsi="Times New Roman"/>
          <w:b/>
          <w:color w:val="000000"/>
          <w:sz w:val="24"/>
          <w:szCs w:val="24"/>
          <w:highlight w:val="white"/>
        </w:rPr>
        <w:t>або еквівалент</w:t>
      </w:r>
      <w:r>
        <w:rPr>
          <w:rFonts w:eastAsia="Times New Roman" w:cs="Times New Roman" w:ascii="Times New Roman" w:hAnsi="Times New Roman"/>
          <w:b/>
          <w:sz w:val="24"/>
          <w:szCs w:val="24"/>
          <w:highlight w:val="white"/>
        </w:rPr>
        <w:t>»</w:t>
      </w:r>
      <w:r>
        <w:rPr>
          <w:rFonts w:eastAsia="Times New Roman" w:cs="Times New Roman" w:ascii="Times New Roman" w:hAnsi="Times New Roman"/>
          <w:color w:val="000000"/>
          <w:sz w:val="24"/>
          <w:szCs w:val="24"/>
          <w:highlight w:val="white"/>
        </w:rPr>
        <w:t>.</w:t>
      </w:r>
    </w:p>
    <w:p>
      <w:pPr>
        <w:pStyle w:val="Normal"/>
        <w:spacing w:lineRule="auto" w:line="240" w:before="0" w:after="0"/>
        <w:ind w:left="0" w:hanging="2"/>
        <w:jc w:val="both"/>
        <w:rPr>
          <w:rFonts w:ascii="Times New Roman" w:hAnsi="Times New Roman" w:eastAsia="Times New Roman" w:cs="Times New Roman"/>
          <w:b/>
          <w:b/>
          <w:color w:val="000000"/>
          <w:sz w:val="24"/>
          <w:szCs w:val="24"/>
        </w:rPr>
      </w:pPr>
      <w:r>
        <w:rPr>
          <w:rFonts w:eastAsia="Times New Roman" w:cs="Times New Roman" w:ascii="Times New Roman" w:hAnsi="Times New Roman"/>
          <w:sz w:val="24"/>
          <w:szCs w:val="24"/>
          <w:highlight w:val="white"/>
        </w:rPr>
        <w:t>У</w:t>
      </w:r>
      <w:r>
        <w:rPr>
          <w:rFonts w:eastAsia="Times New Roman" w:cs="Times New Roman" w:ascii="Times New Roman" w:hAnsi="Times New Roman"/>
          <w:color w:val="000000"/>
          <w:sz w:val="24"/>
          <w:szCs w:val="24"/>
          <w:highlight w:val="white"/>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eastAsia="Times New Roman" w:cs="Times New Roman" w:ascii="Times New Roman" w:hAnsi="Times New Roman"/>
          <w:b/>
          <w:color w:val="000000"/>
          <w:sz w:val="24"/>
          <w:szCs w:val="24"/>
          <w:highlight w:val="white"/>
        </w:rPr>
        <w:t>Таким чином, вважається, що до кожного посилання додається вираз «або еквівалент».</w:t>
      </w:r>
    </w:p>
    <w:p>
      <w:pPr>
        <w:pStyle w:val="Normal"/>
        <w:spacing w:lineRule="auto" w:line="240" w:before="0" w:after="0"/>
        <w:ind w:left="0" w:hanging="2"/>
        <w:jc w:val="both"/>
        <w:rPr>
          <w:rFonts w:ascii="Times New Roman" w:hAnsi="Times New Roman" w:eastAsia="Times New Roman" w:cs="Times New Roman"/>
          <w:b/>
          <w:b/>
          <w:color w:val="000000"/>
          <w:sz w:val="24"/>
          <w:szCs w:val="24"/>
        </w:rPr>
      </w:pPr>
      <w:r>
        <w:rPr>
          <w:rFonts w:eastAsia="Times New Roman" w:cs="Times New Roman" w:ascii="Times New Roman" w:hAnsi="Times New Roman"/>
          <w:color w:val="000000"/>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pPr>
        <w:pStyle w:val="Normal"/>
        <w:shd w:val="clear" w:color="auto" w:fill="FFFFFF"/>
        <w:spacing w:lineRule="auto" w:line="240" w:before="0" w:after="0"/>
        <w:ind w:left="0" w:hanging="2"/>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1"/>
        </w:numPr>
        <w:tabs>
          <w:tab w:val="clear" w:pos="720"/>
          <w:tab w:val="left" w:pos="851" w:leader="none"/>
        </w:tabs>
        <w:ind w:left="0" w:hanging="2"/>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Детальний опис предмета закупівлі:</w:t>
      </w:r>
    </w:p>
    <w:tbl>
      <w:tblPr>
        <w:tblStyle w:val="af0"/>
        <w:tblW w:w="9675" w:type="dxa"/>
        <w:jc w:val="left"/>
        <w:tblInd w:w="-14" w:type="dxa"/>
        <w:tblLayout w:type="fixed"/>
        <w:tblCellMar>
          <w:top w:w="0" w:type="dxa"/>
          <w:left w:w="108" w:type="dxa"/>
          <w:bottom w:w="0" w:type="dxa"/>
          <w:right w:w="108" w:type="dxa"/>
        </w:tblCellMar>
        <w:tblLook w:firstRow="0" w:noVBand="0" w:lastRow="0" w:firstColumn="0" w:lastColumn="0" w:noHBand="0" w:val="0000"/>
      </w:tblPr>
      <w:tblGrid>
        <w:gridCol w:w="4409"/>
        <w:gridCol w:w="5265"/>
      </w:tblGrid>
      <w:tr>
        <w:trPr>
          <w:trHeight w:val="552" w:hRule="atLeast"/>
        </w:trPr>
        <w:tc>
          <w:tcPr>
            <w:tcW w:w="44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ind w:left="0" w:hanging="2"/>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Назва предмета закупівлі</w:t>
            </w:r>
          </w:p>
        </w:tc>
        <w:tc>
          <w:tcPr>
            <w:tcW w:w="5265" w:type="dxa"/>
            <w:tcBorders>
              <w:top w:val="single" w:sz="6" w:space="0" w:color="000000"/>
              <w:left w:val="single" w:sz="6" w:space="0" w:color="000000"/>
              <w:bottom w:val="single" w:sz="6" w:space="0" w:color="000000"/>
              <w:right w:val="single" w:sz="6" w:space="0" w:color="000000"/>
            </w:tcBorders>
            <w:vAlign w:val="center"/>
          </w:tcPr>
          <w:tbl>
            <w:tblPr>
              <w:tblW w:w="5050" w:type="dxa"/>
              <w:jc w:val="left"/>
              <w:tblInd w:w="0" w:type="dxa"/>
              <w:tblLayout w:type="fixed"/>
              <w:tblCellMar>
                <w:top w:w="55" w:type="dxa"/>
                <w:left w:w="55" w:type="dxa"/>
                <w:bottom w:w="55" w:type="dxa"/>
                <w:right w:w="55" w:type="dxa"/>
              </w:tblCellMar>
            </w:tblPr>
            <w:tblGrid>
              <w:gridCol w:w="1133"/>
              <w:gridCol w:w="3916"/>
            </w:tblGrid>
            <w:tr>
              <w:trPr/>
              <w:tc>
                <w:tcPr>
                  <w:tcW w:w="1133" w:type="dxa"/>
                  <w:tcBorders>
                    <w:top w:val="single" w:sz="4" w:space="0" w:color="000000"/>
                    <w:left w:val="single" w:sz="4" w:space="0" w:color="000000"/>
                    <w:bottom w:val="single" w:sz="4" w:space="0" w:color="000000"/>
                  </w:tcBorders>
                </w:tcPr>
                <w:p>
                  <w:pPr>
                    <w:pStyle w:val="Style19"/>
                    <w:widowControl w:val="false"/>
                    <w:spacing w:before="0" w:after="0"/>
                    <w:rPr>
                      <w:rFonts w:ascii="Times New Roman" w:hAnsi="Times New Roman"/>
                      <w:sz w:val="24"/>
                      <w:szCs w:val="24"/>
                    </w:rPr>
                  </w:pPr>
                  <w:r>
                    <w:rPr>
                      <w:rFonts w:ascii="Times New Roman" w:hAnsi="Times New Roman"/>
                      <w:sz w:val="24"/>
                      <w:szCs w:val="24"/>
                    </w:rPr>
                    <w:t xml:space="preserve">ЛОТ </w:t>
                  </w:r>
                  <w:r>
                    <w:rPr>
                      <w:rFonts w:ascii="Times New Roman" w:hAnsi="Times New Roman"/>
                      <w:sz w:val="24"/>
                      <w:szCs w:val="24"/>
                      <w:lang w:val="uk-UA"/>
                    </w:rPr>
                    <w:t>1</w:t>
                  </w:r>
                </w:p>
              </w:tc>
              <w:tc>
                <w:tcPr>
                  <w:tcW w:w="3916" w:type="dxa"/>
                  <w:tcBorders>
                    <w:top w:val="single" w:sz="4" w:space="0" w:color="000000"/>
                    <w:left w:val="single" w:sz="4" w:space="0" w:color="000000"/>
                    <w:bottom w:val="single" w:sz="4" w:space="0" w:color="000000"/>
                    <w:right w:val="single" w:sz="4" w:space="0" w:color="000000"/>
                  </w:tcBorders>
                </w:tcPr>
                <w:p>
                  <w:pPr>
                    <w:pStyle w:val="Style19"/>
                    <w:widowControl w:val="false"/>
                    <w:spacing w:before="0" w:after="0"/>
                    <w:rPr>
                      <w:rFonts w:ascii="Times New Roman" w:hAnsi="Times New Roman"/>
                      <w:sz w:val="24"/>
                      <w:szCs w:val="24"/>
                    </w:rPr>
                  </w:pPr>
                  <w:r>
                    <w:rPr>
                      <w:rFonts w:ascii="Times New Roman" w:hAnsi="Times New Roman"/>
                      <w:sz w:val="24"/>
                      <w:szCs w:val="24"/>
                    </w:rPr>
                    <w:t>Природний газ</w:t>
                  </w:r>
                </w:p>
              </w:tc>
            </w:tr>
            <w:tr>
              <w:trPr/>
              <w:tc>
                <w:tcPr>
                  <w:tcW w:w="1133" w:type="dxa"/>
                  <w:tcBorders>
                    <w:left w:val="single" w:sz="4" w:space="0" w:color="000000"/>
                    <w:bottom w:val="single" w:sz="4" w:space="0" w:color="000000"/>
                  </w:tcBorders>
                </w:tcPr>
                <w:p>
                  <w:pPr>
                    <w:pStyle w:val="Style19"/>
                    <w:widowControl w:val="false"/>
                    <w:spacing w:before="0" w:after="0"/>
                    <w:rPr>
                      <w:rFonts w:ascii="Times New Roman" w:hAnsi="Times New Roman"/>
                      <w:sz w:val="24"/>
                      <w:szCs w:val="24"/>
                    </w:rPr>
                  </w:pPr>
                  <w:r>
                    <w:rPr>
                      <w:rFonts w:ascii="Times New Roman" w:hAnsi="Times New Roman"/>
                      <w:sz w:val="24"/>
                      <w:szCs w:val="24"/>
                    </w:rPr>
                    <w:t xml:space="preserve">ЛОТ </w:t>
                  </w:r>
                  <w:r>
                    <w:rPr>
                      <w:rFonts w:ascii="Times New Roman" w:hAnsi="Times New Roman"/>
                      <w:sz w:val="24"/>
                      <w:szCs w:val="24"/>
                      <w:lang w:val="uk-UA"/>
                    </w:rPr>
                    <w:t>2</w:t>
                  </w:r>
                </w:p>
              </w:tc>
              <w:tc>
                <w:tcPr>
                  <w:tcW w:w="3916" w:type="dxa"/>
                  <w:tcBorders>
                    <w:left w:val="single" w:sz="4" w:space="0" w:color="000000"/>
                    <w:bottom w:val="single" w:sz="4" w:space="0" w:color="000000"/>
                    <w:right w:val="single" w:sz="4" w:space="0" w:color="000000"/>
                  </w:tcBorders>
                </w:tcPr>
                <w:p>
                  <w:pPr>
                    <w:pStyle w:val="Style19"/>
                    <w:widowControl w:val="false"/>
                    <w:spacing w:before="0" w:after="0"/>
                    <w:rPr>
                      <w:rFonts w:ascii="Times New Roman" w:hAnsi="Times New Roman"/>
                      <w:sz w:val="24"/>
                      <w:szCs w:val="24"/>
                    </w:rPr>
                  </w:pPr>
                  <w:r>
                    <w:rPr>
                      <w:rFonts w:ascii="Times New Roman" w:hAnsi="Times New Roman"/>
                      <w:sz w:val="24"/>
                      <w:szCs w:val="24"/>
                    </w:rPr>
                    <w:t>Природний газ</w:t>
                  </w:r>
                </w:p>
              </w:tc>
            </w:tr>
          </w:tbl>
          <w:p>
            <w:pPr>
              <w:pStyle w:val="Normal"/>
              <w:widowControl w:val="false"/>
              <w:spacing w:before="0" w:after="160"/>
              <w:ind w:left="0" w:hanging="2"/>
              <w:rPr/>
            </w:pPr>
            <w:r>
              <w:rPr/>
            </w:r>
          </w:p>
        </w:tc>
      </w:tr>
      <w:tr>
        <w:trPr>
          <w:trHeight w:val="552" w:hRule="atLeast"/>
        </w:trPr>
        <w:tc>
          <w:tcPr>
            <w:tcW w:w="44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ind w:left="0" w:hanging="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Код ДК 021:2015 за Єдиним закупівельним словником</w:t>
            </w:r>
          </w:p>
        </w:tc>
        <w:tc>
          <w:tcPr>
            <w:tcW w:w="52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160"/>
              <w:ind w:left="0" w:hanging="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09120000-6 – газове паливо</w:t>
            </w:r>
          </w:p>
        </w:tc>
      </w:tr>
      <w:tr>
        <w:trPr>
          <w:trHeight w:val="552" w:hRule="atLeast"/>
        </w:trPr>
        <w:tc>
          <w:tcPr>
            <w:tcW w:w="44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ind w:left="0" w:hanging="2"/>
              <w:rPr>
                <w:rFonts w:ascii="Times New Roman" w:hAnsi="Times New Roman" w:eastAsia="Times New Roman" w:cs="Times New Roman"/>
                <w:color w:val="000000"/>
                <w:sz w:val="24"/>
                <w:szCs w:val="24"/>
              </w:rPr>
            </w:pPr>
            <w:bookmarkStart w:id="0" w:name="_heading=h.gjdgxs"/>
            <w:bookmarkEnd w:id="0"/>
            <w:r>
              <w:rPr>
                <w:rFonts w:eastAsia="Times New Roman" w:cs="Times New Roman" w:ascii="Times New Roman" w:hAnsi="Times New Roman"/>
                <w:sz w:val="24"/>
                <w:szCs w:val="24"/>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color="000000"/>
              <w:left w:val="single" w:sz="6" w:space="0" w:color="000000"/>
              <w:bottom w:val="single" w:sz="6" w:space="0" w:color="000000"/>
              <w:right w:val="single" w:sz="6" w:space="0" w:color="000000"/>
            </w:tcBorders>
            <w:vAlign w:val="center"/>
          </w:tcPr>
          <w:tbl>
            <w:tblPr>
              <w:tblW w:w="5050" w:type="dxa"/>
              <w:jc w:val="left"/>
              <w:tblInd w:w="0" w:type="dxa"/>
              <w:tblLayout w:type="fixed"/>
              <w:tblCellMar>
                <w:top w:w="55" w:type="dxa"/>
                <w:left w:w="55" w:type="dxa"/>
                <w:bottom w:w="55" w:type="dxa"/>
                <w:right w:w="55" w:type="dxa"/>
              </w:tblCellMar>
            </w:tblPr>
            <w:tblGrid>
              <w:gridCol w:w="1133"/>
              <w:gridCol w:w="3916"/>
            </w:tblGrid>
            <w:tr>
              <w:trPr/>
              <w:tc>
                <w:tcPr>
                  <w:tcW w:w="1133" w:type="dxa"/>
                  <w:tcBorders>
                    <w:top w:val="single" w:sz="4" w:space="0" w:color="000000"/>
                    <w:left w:val="single" w:sz="4" w:space="0" w:color="000000"/>
                    <w:bottom w:val="single" w:sz="4" w:space="0" w:color="000000"/>
                  </w:tcBorders>
                </w:tcPr>
                <w:p>
                  <w:pPr>
                    <w:pStyle w:val="Style19"/>
                    <w:widowControl w:val="false"/>
                    <w:spacing w:before="0" w:after="0"/>
                    <w:rPr>
                      <w:rFonts w:ascii="Times New Roman" w:hAnsi="Times New Roman"/>
                      <w:sz w:val="24"/>
                      <w:szCs w:val="24"/>
                    </w:rPr>
                  </w:pPr>
                  <w:r>
                    <w:rPr>
                      <w:rFonts w:ascii="Times New Roman" w:hAnsi="Times New Roman"/>
                      <w:sz w:val="24"/>
                      <w:szCs w:val="24"/>
                    </w:rPr>
                    <w:t xml:space="preserve">ЛОТ </w:t>
                  </w:r>
                  <w:r>
                    <w:rPr>
                      <w:rFonts w:ascii="Times New Roman" w:hAnsi="Times New Roman"/>
                      <w:sz w:val="24"/>
                      <w:szCs w:val="24"/>
                      <w:lang w:val="uk-UA"/>
                    </w:rPr>
                    <w:t>1</w:t>
                  </w:r>
                </w:p>
              </w:tc>
              <w:tc>
                <w:tcPr>
                  <w:tcW w:w="3916" w:type="dxa"/>
                  <w:tcBorders>
                    <w:top w:val="single" w:sz="4" w:space="0" w:color="000000"/>
                    <w:left w:val="single" w:sz="4" w:space="0" w:color="000000"/>
                    <w:bottom w:val="single" w:sz="4" w:space="0" w:color="000000"/>
                    <w:right w:val="single" w:sz="4" w:space="0" w:color="000000"/>
                  </w:tcBorders>
                </w:tcPr>
                <w:p>
                  <w:pPr>
                    <w:pStyle w:val="NormalWeb"/>
                    <w:widowControl w:val="false"/>
                    <w:tabs>
                      <w:tab w:val="clear" w:pos="720"/>
                    </w:tabs>
                    <w:spacing w:lineRule="atLeast" w:line="281" w:before="0" w:after="0"/>
                    <w:ind w:left="0" w:right="0" w:hanging="0"/>
                    <w:jc w:val="both"/>
                    <w:rPr>
                      <w:sz w:val="24"/>
                      <w:szCs w:val="24"/>
                    </w:rPr>
                  </w:pPr>
                  <w:r>
                    <w:rPr>
                      <w:rFonts w:cs="Times New Roman" w:ascii="Times New Roman" w:hAnsi="Times New Roman"/>
                      <w:sz w:val="24"/>
                      <w:szCs w:val="24"/>
                      <w:lang w:val="ru-RU"/>
                    </w:rPr>
                    <w:t xml:space="preserve">ДК 021:2015 </w:t>
                  </w:r>
                  <w:r>
                    <w:rPr>
                      <w:rFonts w:eastAsia="Times New Roman" w:cs="Times New Roman" w:ascii="Times New Roman" w:hAnsi="Times New Roman"/>
                      <w:color w:val="000000"/>
                      <w:kern w:val="2"/>
                      <w:sz w:val="24"/>
                      <w:szCs w:val="24"/>
                      <w:lang w:val="uk-UA" w:eastAsia="uk-UA" w:bidi="ar-SA"/>
                    </w:rPr>
                    <w:t>Єдиний закупівельний словник</w:t>
                  </w:r>
                  <w:r>
                    <w:rPr>
                      <w:rFonts w:cs="Times New Roman" w:ascii="Times New Roman" w:hAnsi="Times New Roman"/>
                      <w:sz w:val="24"/>
                      <w:szCs w:val="24"/>
                      <w:lang w:val="ru-RU"/>
                    </w:rPr>
                    <w:t xml:space="preserve">: </w:t>
                  </w:r>
                  <w:r>
                    <w:rPr>
                      <w:rFonts w:eastAsia="Times New Roman" w:cs="Times New Roman" w:ascii="Times New Roman" w:hAnsi="Times New Roman"/>
                      <w:color w:val="000000"/>
                      <w:kern w:val="2"/>
                      <w:sz w:val="24"/>
                      <w:szCs w:val="24"/>
                      <w:lang w:val="uk-UA" w:eastAsia="uk-UA" w:bidi="ar-SA"/>
                    </w:rPr>
                    <w:t>09120000-6 Газове паливо (09123000-7 Природний газ)</w:t>
                  </w:r>
                </w:p>
              </w:tc>
            </w:tr>
            <w:tr>
              <w:trPr/>
              <w:tc>
                <w:tcPr>
                  <w:tcW w:w="1133" w:type="dxa"/>
                  <w:tcBorders>
                    <w:left w:val="single" w:sz="4" w:space="0" w:color="000000"/>
                    <w:bottom w:val="single" w:sz="4" w:space="0" w:color="000000"/>
                  </w:tcBorders>
                </w:tcPr>
                <w:p>
                  <w:pPr>
                    <w:pStyle w:val="Style19"/>
                    <w:widowControl w:val="false"/>
                    <w:spacing w:before="0" w:after="0"/>
                    <w:rPr>
                      <w:rFonts w:ascii="Times New Roman" w:hAnsi="Times New Roman"/>
                      <w:sz w:val="24"/>
                      <w:szCs w:val="24"/>
                    </w:rPr>
                  </w:pPr>
                  <w:r>
                    <w:rPr>
                      <w:rFonts w:ascii="Times New Roman" w:hAnsi="Times New Roman"/>
                      <w:sz w:val="24"/>
                      <w:szCs w:val="24"/>
                    </w:rPr>
                    <w:t xml:space="preserve">ЛОТ </w:t>
                  </w:r>
                  <w:r>
                    <w:rPr>
                      <w:rFonts w:ascii="Times New Roman" w:hAnsi="Times New Roman"/>
                      <w:sz w:val="24"/>
                      <w:szCs w:val="24"/>
                      <w:lang w:val="uk-UA"/>
                    </w:rPr>
                    <w:t>2</w:t>
                  </w:r>
                </w:p>
              </w:tc>
              <w:tc>
                <w:tcPr>
                  <w:tcW w:w="3916" w:type="dxa"/>
                  <w:tcBorders>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lang w:eastAsia="uk-UA"/>
                    </w:rPr>
                  </w:pPr>
                  <w:r>
                    <w:rPr>
                      <w:rFonts w:ascii="Times New Roman" w:hAnsi="Times New Roman"/>
                      <w:sz w:val="24"/>
                      <w:szCs w:val="24"/>
                      <w:lang w:val="uk-UA" w:eastAsia="uk-UA" w:bidi="ar-SA"/>
                    </w:rPr>
                    <w:t>КОД ДК 021:2015 Єдиний закупівельний словник : 09120000-6 Газове паливо (09123000-7 Природний газ)</w:t>
                  </w:r>
                </w:p>
              </w:tc>
            </w:tr>
          </w:tbl>
          <w:p>
            <w:pPr>
              <w:pStyle w:val="Normal"/>
              <w:widowControl w:val="false"/>
              <w:spacing w:before="0" w:after="160"/>
              <w:ind w:left="0" w:hanging="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632" w:hRule="atLeast"/>
        </w:trPr>
        <w:tc>
          <w:tcPr>
            <w:tcW w:w="44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ind w:left="0" w:hanging="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Одиниці виміру, кількість </w:t>
            </w:r>
            <w:r>
              <w:rPr>
                <w:rFonts w:eastAsia="Times New Roman" w:cs="Times New Roman" w:ascii="Times New Roman" w:hAnsi="Times New Roman"/>
                <w:color w:val="000000"/>
                <w:sz w:val="24"/>
                <w:szCs w:val="24"/>
                <w:lang w:val="uk-UA"/>
              </w:rPr>
              <w:t>(обсяг)</w:t>
            </w:r>
          </w:p>
        </w:tc>
        <w:tc>
          <w:tcPr>
            <w:tcW w:w="526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0"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before="0" w:after="0"/>
              <w:ind w:left="0"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5050" w:type="dxa"/>
              <w:jc w:val="left"/>
              <w:tblInd w:w="0" w:type="dxa"/>
              <w:tblLayout w:type="fixed"/>
              <w:tblCellMar>
                <w:top w:w="55" w:type="dxa"/>
                <w:left w:w="55" w:type="dxa"/>
                <w:bottom w:w="55" w:type="dxa"/>
                <w:right w:w="55" w:type="dxa"/>
              </w:tblCellMar>
            </w:tblPr>
            <w:tblGrid>
              <w:gridCol w:w="1133"/>
              <w:gridCol w:w="3916"/>
            </w:tblGrid>
            <w:tr>
              <w:trPr/>
              <w:tc>
                <w:tcPr>
                  <w:tcW w:w="1133" w:type="dxa"/>
                  <w:tcBorders>
                    <w:top w:val="single" w:sz="4" w:space="0" w:color="000000"/>
                    <w:left w:val="single" w:sz="4" w:space="0" w:color="000000"/>
                    <w:bottom w:val="single" w:sz="4" w:space="0" w:color="000000"/>
                  </w:tcBorders>
                </w:tcPr>
                <w:p>
                  <w:pPr>
                    <w:pStyle w:val="Style19"/>
                    <w:widowControl w:val="false"/>
                    <w:spacing w:before="0" w:after="0"/>
                    <w:rPr>
                      <w:rFonts w:ascii="Times New Roman" w:hAnsi="Times New Roman"/>
                      <w:sz w:val="24"/>
                      <w:szCs w:val="24"/>
                    </w:rPr>
                  </w:pPr>
                  <w:r>
                    <w:rPr>
                      <w:rFonts w:ascii="Times New Roman" w:hAnsi="Times New Roman"/>
                      <w:sz w:val="24"/>
                      <w:szCs w:val="24"/>
                    </w:rPr>
                    <w:t xml:space="preserve">ЛОТ </w:t>
                  </w:r>
                  <w:r>
                    <w:rPr>
                      <w:rFonts w:ascii="Times New Roman" w:hAnsi="Times New Roman"/>
                      <w:sz w:val="24"/>
                      <w:szCs w:val="24"/>
                      <w:lang w:val="uk-UA"/>
                    </w:rPr>
                    <w:t>1</w:t>
                  </w:r>
                </w:p>
              </w:tc>
              <w:tc>
                <w:tcPr>
                  <w:tcW w:w="3916" w:type="dxa"/>
                  <w:tcBorders>
                    <w:top w:val="single" w:sz="4" w:space="0" w:color="000000"/>
                    <w:left w:val="single" w:sz="4" w:space="0" w:color="000000"/>
                    <w:bottom w:val="single" w:sz="4" w:space="0" w:color="000000"/>
                    <w:right w:val="single" w:sz="4" w:space="0" w:color="000000"/>
                  </w:tcBorders>
                </w:tcPr>
                <w:p>
                  <w:pPr>
                    <w:pStyle w:val="Style19"/>
                    <w:widowControl w:val="false"/>
                    <w:spacing w:before="0" w:after="0"/>
                    <w:rPr>
                      <w:rFonts w:ascii="Times New Roman" w:hAnsi="Times New Roman" w:eastAsia="Calibri" w:cs="Calibri"/>
                      <w:color w:val="auto"/>
                      <w:kern w:val="0"/>
                      <w:sz w:val="24"/>
                      <w:szCs w:val="24"/>
                      <w:vertAlign w:val="subscript"/>
                      <w:lang w:val="uk-UA" w:eastAsia="en-US" w:bidi="ar-SA"/>
                    </w:rPr>
                  </w:pPr>
                  <w:r>
                    <w:rPr>
                      <w:rFonts w:eastAsia="Calibri" w:cs="Calibri" w:ascii="Times New Roman" w:hAnsi="Times New Roman"/>
                      <w:color w:val="auto"/>
                      <w:kern w:val="0"/>
                      <w:sz w:val="24"/>
                      <w:szCs w:val="24"/>
                      <w:vertAlign w:val="subscript"/>
                      <w:lang w:val="uk-UA" w:eastAsia="en-US" w:bidi="ar-SA"/>
                    </w:rPr>
                    <w:t>5000 м. куб.</w:t>
                  </w:r>
                </w:p>
              </w:tc>
            </w:tr>
            <w:tr>
              <w:trPr/>
              <w:tc>
                <w:tcPr>
                  <w:tcW w:w="1133" w:type="dxa"/>
                  <w:tcBorders>
                    <w:left w:val="single" w:sz="4" w:space="0" w:color="000000"/>
                    <w:bottom w:val="single" w:sz="4" w:space="0" w:color="000000"/>
                  </w:tcBorders>
                </w:tcPr>
                <w:p>
                  <w:pPr>
                    <w:pStyle w:val="Style19"/>
                    <w:widowControl w:val="false"/>
                    <w:spacing w:before="0" w:after="0"/>
                    <w:rPr>
                      <w:rFonts w:ascii="Times New Roman" w:hAnsi="Times New Roman"/>
                      <w:sz w:val="24"/>
                      <w:szCs w:val="24"/>
                    </w:rPr>
                  </w:pPr>
                  <w:r>
                    <w:rPr>
                      <w:rFonts w:ascii="Times New Roman" w:hAnsi="Times New Roman"/>
                      <w:sz w:val="24"/>
                      <w:szCs w:val="24"/>
                    </w:rPr>
                    <w:t xml:space="preserve">ЛОТ </w:t>
                  </w:r>
                  <w:r>
                    <w:rPr>
                      <w:rFonts w:ascii="Times New Roman" w:hAnsi="Times New Roman"/>
                      <w:sz w:val="24"/>
                      <w:szCs w:val="24"/>
                      <w:lang w:val="uk-UA"/>
                    </w:rPr>
                    <w:t>2</w:t>
                  </w:r>
                </w:p>
              </w:tc>
              <w:tc>
                <w:tcPr>
                  <w:tcW w:w="3916" w:type="dxa"/>
                  <w:tcBorders>
                    <w:left w:val="single" w:sz="4" w:space="0" w:color="000000"/>
                    <w:bottom w:val="single" w:sz="4" w:space="0" w:color="000000"/>
                    <w:right w:val="single" w:sz="4" w:space="0" w:color="000000"/>
                  </w:tcBorders>
                </w:tcPr>
                <w:p>
                  <w:pPr>
                    <w:pStyle w:val="Style19"/>
                    <w:widowControl w:val="false"/>
                    <w:spacing w:before="0" w:after="0"/>
                    <w:rPr>
                      <w:rFonts w:ascii="Times New Roman" w:hAnsi="Times New Roman"/>
                      <w:sz w:val="24"/>
                      <w:szCs w:val="24"/>
                      <w:lang w:val="uk-UA"/>
                    </w:rPr>
                  </w:pPr>
                  <w:r>
                    <w:rPr>
                      <w:rFonts w:ascii="Times New Roman" w:hAnsi="Times New Roman"/>
                      <w:sz w:val="24"/>
                      <w:szCs w:val="24"/>
                      <w:lang w:val="uk-UA"/>
                    </w:rPr>
                    <w:t>12000 м. куб</w:t>
                  </w:r>
                </w:p>
              </w:tc>
            </w:tr>
          </w:tbl>
          <w:p>
            <w:pPr>
              <w:pStyle w:val="Normal"/>
              <w:widowControl w:val="false"/>
              <w:spacing w:before="0" w:after="160"/>
              <w:rPr/>
            </w:pPr>
            <w:r>
              <w:rPr/>
            </w:r>
          </w:p>
        </w:tc>
      </w:tr>
      <w:tr>
        <w:trPr>
          <w:trHeight w:val="632" w:hRule="atLeast"/>
        </w:trPr>
        <w:tc>
          <w:tcPr>
            <w:tcW w:w="44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ind w:left="0" w:hanging="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Місце поставки товару</w:t>
            </w:r>
          </w:p>
        </w:tc>
        <w:tc>
          <w:tcPr>
            <w:tcW w:w="5265" w:type="dxa"/>
            <w:tcBorders>
              <w:top w:val="single" w:sz="6" w:space="0" w:color="000000"/>
              <w:left w:val="single" w:sz="6" w:space="0" w:color="000000"/>
              <w:bottom w:val="single" w:sz="6" w:space="0" w:color="000000"/>
              <w:right w:val="single" w:sz="6" w:space="0" w:color="000000"/>
            </w:tcBorders>
          </w:tcPr>
          <w:tbl>
            <w:tblPr>
              <w:tblW w:w="5050" w:type="dxa"/>
              <w:jc w:val="left"/>
              <w:tblInd w:w="0" w:type="dxa"/>
              <w:tblLayout w:type="fixed"/>
              <w:tblCellMar>
                <w:top w:w="55" w:type="dxa"/>
                <w:left w:w="55" w:type="dxa"/>
                <w:bottom w:w="55" w:type="dxa"/>
                <w:right w:w="55" w:type="dxa"/>
              </w:tblCellMar>
            </w:tblPr>
            <w:tblGrid>
              <w:gridCol w:w="1133"/>
              <w:gridCol w:w="3916"/>
            </w:tblGrid>
            <w:tr>
              <w:trPr/>
              <w:tc>
                <w:tcPr>
                  <w:tcW w:w="1133" w:type="dxa"/>
                  <w:tcBorders>
                    <w:top w:val="single" w:sz="2" w:space="0" w:color="000000"/>
                    <w:left w:val="single" w:sz="2" w:space="0" w:color="000000"/>
                    <w:bottom w:val="single" w:sz="2" w:space="0" w:color="000000"/>
                  </w:tcBorders>
                </w:tcPr>
                <w:p>
                  <w:pPr>
                    <w:pStyle w:val="Normal"/>
                    <w:widowControl w:val="false"/>
                    <w:spacing w:before="0" w:after="0"/>
                    <w:ind w:left="0" w:hanging="2"/>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r>
                </w:p>
              </w:tc>
              <w:tc>
                <w:tcPr>
                  <w:tcW w:w="3916" w:type="dxa"/>
                  <w:tcBorders>
                    <w:top w:val="single" w:sz="2" w:space="0" w:color="000000"/>
                    <w:left w:val="single" w:sz="2" w:space="0" w:color="000000"/>
                    <w:bottom w:val="single" w:sz="2" w:space="0" w:color="000000"/>
                    <w:right w:val="single" w:sz="2" w:space="0" w:color="000000"/>
                  </w:tcBorders>
                </w:tcPr>
                <w:p>
                  <w:pPr>
                    <w:pStyle w:val="Style19"/>
                    <w:widowControl w:val="false"/>
                    <w:spacing w:before="0" w:after="0"/>
                    <w:rPr>
                      <w:lang w:val="uk-UA"/>
                    </w:rPr>
                  </w:pPr>
                  <w:r>
                    <w:rPr>
                      <w:lang w:val="uk-UA"/>
                    </w:rPr>
                  </w:r>
                </w:p>
              </w:tc>
            </w:tr>
            <w:tr>
              <w:trPr>
                <w:trHeight w:val="662" w:hRule="atLeast"/>
              </w:trPr>
              <w:tc>
                <w:tcPr>
                  <w:tcW w:w="1133" w:type="dxa"/>
                  <w:tcBorders>
                    <w:left w:val="single" w:sz="2" w:space="0" w:color="000000"/>
                    <w:bottom w:val="single" w:sz="2" w:space="0" w:color="000000"/>
                  </w:tcBorders>
                </w:tcPr>
                <w:p>
                  <w:pPr>
                    <w:pStyle w:val="Style19"/>
                    <w:widowControl w:val="false"/>
                    <w:spacing w:lineRule="auto" w:line="240" w:before="0" w:after="0"/>
                    <w:rPr>
                      <w:rFonts w:ascii="Times New Roman" w:hAnsi="Times New Roman"/>
                      <w:sz w:val="24"/>
                      <w:szCs w:val="24"/>
                    </w:rPr>
                  </w:pPr>
                  <w:r>
                    <w:rPr>
                      <w:rFonts w:ascii="Times New Roman" w:hAnsi="Times New Roman"/>
                      <w:sz w:val="24"/>
                      <w:szCs w:val="24"/>
                    </w:rPr>
                    <w:t xml:space="preserve">ЛОТ </w:t>
                  </w:r>
                  <w:r>
                    <w:rPr>
                      <w:rFonts w:ascii="Times New Roman" w:hAnsi="Times New Roman"/>
                      <w:sz w:val="24"/>
                      <w:szCs w:val="24"/>
                      <w:lang w:val="uk-UA"/>
                    </w:rPr>
                    <w:t>1</w:t>
                  </w:r>
                </w:p>
              </w:tc>
              <w:tc>
                <w:tcPr>
                  <w:tcW w:w="3916" w:type="dxa"/>
                  <w:tcBorders>
                    <w:left w:val="single" w:sz="2" w:space="0" w:color="000000"/>
                    <w:bottom w:val="single" w:sz="2" w:space="0" w:color="000000"/>
                    <w:right w:val="single" w:sz="2" w:space="0" w:color="000000"/>
                  </w:tcBorders>
                </w:tcPr>
                <w:p>
                  <w:pPr>
                    <w:pStyle w:val="Style19"/>
                    <w:widowControl w:val="false"/>
                    <w:spacing w:lineRule="auto" w:line="240" w:before="0" w:after="0"/>
                    <w:rPr>
                      <w:rFonts w:ascii="Times New Roman" w:hAnsi="Times New Roman"/>
                      <w:sz w:val="24"/>
                      <w:szCs w:val="24"/>
                    </w:rPr>
                  </w:pPr>
                  <w:r>
                    <w:rPr>
                      <w:rFonts w:ascii="Times New Roman" w:hAnsi="Times New Roman"/>
                      <w:b w:val="false"/>
                      <w:bCs w:val="false"/>
                      <w:sz w:val="24"/>
                      <w:szCs w:val="24"/>
                      <w:lang w:val="uk-UA"/>
                    </w:rPr>
                    <w:t>Львівська обл., м. Сокаль, вул. Героїв УПА, 11.</w:t>
                  </w:r>
                </w:p>
                <w:p>
                  <w:pPr>
                    <w:pStyle w:val="Normal"/>
                    <w:widowControl w:val="false"/>
                    <w:shd w:val="clear" w:color="auto" w:fill="FFFFFF"/>
                    <w:spacing w:lineRule="auto" w:line="240"/>
                    <w:jc w:val="both"/>
                    <w:textAlignment w:val="baseline"/>
                    <w:rPr>
                      <w:b w:val="false"/>
                      <w:b w:val="false"/>
                      <w:bCs w:val="false"/>
                      <w:sz w:val="24"/>
                      <w:szCs w:val="24"/>
                    </w:rPr>
                  </w:pPr>
                  <w:r>
                    <w:rPr>
                      <w:b w:val="false"/>
                      <w:bCs w:val="false"/>
                      <w:sz w:val="24"/>
                      <w:szCs w:val="24"/>
                    </w:rPr>
                  </w:r>
                </w:p>
                <w:p>
                  <w:pPr>
                    <w:pStyle w:val="Style19"/>
                    <w:widowControl w:val="false"/>
                    <w:spacing w:lineRule="auto" w:line="240" w:before="0" w:after="0"/>
                    <w:rPr>
                      <w:rFonts w:cs="Times New Roman"/>
                      <w:b w:val="false"/>
                      <w:b w:val="false"/>
                      <w:bCs w:val="false"/>
                      <w:color w:val="000000"/>
                      <w:shd w:fill="FDFEFD" w:val="clear"/>
                      <w:lang w:val="uk-UA"/>
                    </w:rPr>
                  </w:pPr>
                  <w:r>
                    <w:rPr>
                      <w:rFonts w:cs="Times New Roman"/>
                      <w:b w:val="false"/>
                      <w:bCs w:val="false"/>
                      <w:color w:val="000000"/>
                      <w:shd w:fill="FDFEFD" w:val="clear"/>
                      <w:lang w:val="uk-UA"/>
                    </w:rPr>
                  </w:r>
                </w:p>
              </w:tc>
            </w:tr>
            <w:tr>
              <w:trPr/>
              <w:tc>
                <w:tcPr>
                  <w:tcW w:w="1133" w:type="dxa"/>
                  <w:tcBorders>
                    <w:left w:val="single" w:sz="2" w:space="0" w:color="000000"/>
                    <w:bottom w:val="single" w:sz="2" w:space="0" w:color="000000"/>
                  </w:tcBorders>
                </w:tcPr>
                <w:p>
                  <w:pPr>
                    <w:pStyle w:val="Style19"/>
                    <w:widowControl w:val="false"/>
                    <w:spacing w:lineRule="auto" w:line="240" w:before="0" w:after="0"/>
                    <w:rPr>
                      <w:rFonts w:ascii="Times New Roman" w:hAnsi="Times New Roman"/>
                      <w:sz w:val="24"/>
                      <w:szCs w:val="24"/>
                    </w:rPr>
                  </w:pPr>
                  <w:r>
                    <w:rPr>
                      <w:rFonts w:ascii="Times New Roman" w:hAnsi="Times New Roman"/>
                      <w:sz w:val="24"/>
                      <w:szCs w:val="24"/>
                    </w:rPr>
                    <w:t xml:space="preserve">ЛОТ </w:t>
                  </w:r>
                  <w:r>
                    <w:rPr>
                      <w:rFonts w:ascii="Times New Roman" w:hAnsi="Times New Roman"/>
                      <w:sz w:val="24"/>
                      <w:szCs w:val="24"/>
                      <w:lang w:val="uk-UA"/>
                    </w:rPr>
                    <w:t>2</w:t>
                  </w:r>
                </w:p>
              </w:tc>
              <w:tc>
                <w:tcPr>
                  <w:tcW w:w="3916" w:type="dxa"/>
                  <w:tcBorders>
                    <w:left w:val="single" w:sz="2" w:space="0" w:color="000000"/>
                    <w:bottom w:val="single" w:sz="2" w:space="0" w:color="000000"/>
                    <w:right w:val="single" w:sz="2" w:space="0" w:color="000000"/>
                  </w:tcBorders>
                </w:tcPr>
                <w:p>
                  <w:pPr>
                    <w:pStyle w:val="Style19"/>
                    <w:widowControl w:val="false"/>
                    <w:spacing w:lineRule="auto" w:line="240" w:before="0" w:after="0"/>
                    <w:rPr>
                      <w:rFonts w:ascii="Times New Roman" w:hAnsi="Times New Roman"/>
                      <w:sz w:val="24"/>
                      <w:szCs w:val="24"/>
                    </w:rPr>
                  </w:pPr>
                  <w:r>
                    <w:rPr>
                      <w:rFonts w:ascii="Times New Roman" w:hAnsi="Times New Roman"/>
                      <w:b w:val="false"/>
                      <w:bCs w:val="false"/>
                      <w:sz w:val="24"/>
                      <w:szCs w:val="24"/>
                      <w:lang w:val="uk-UA"/>
                    </w:rPr>
                    <w:t xml:space="preserve">Львівська обл., м. Сокаль, вул. Героїв УПА, 20 </w:t>
                  </w:r>
                  <w:r>
                    <w:rPr>
                      <w:rFonts w:ascii="Times New Roman" w:hAnsi="Times New Roman"/>
                      <w:b w:val="false"/>
                      <w:bCs w:val="false"/>
                      <w:sz w:val="24"/>
                      <w:szCs w:val="24"/>
                      <w:lang w:val="uk-UA"/>
                    </w:rPr>
                    <w:t>(гуртожиток)</w:t>
                  </w:r>
                </w:p>
              </w:tc>
            </w:tr>
          </w:tbl>
          <w:p>
            <w:pPr>
              <w:pStyle w:val="Normal"/>
              <w:widowControl w:val="false"/>
              <w:spacing w:before="0" w:after="0"/>
              <w:ind w:left="0" w:hanging="2"/>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r>
          </w:p>
          <w:p>
            <w:pPr>
              <w:pStyle w:val="Normal"/>
              <w:widowControl w:val="false"/>
              <w:spacing w:before="0" w:after="0"/>
              <w:ind w:left="0" w:hanging="2"/>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r>
          </w:p>
        </w:tc>
      </w:tr>
      <w:tr>
        <w:trPr>
          <w:trHeight w:val="632" w:hRule="atLeast"/>
        </w:trPr>
        <w:tc>
          <w:tcPr>
            <w:tcW w:w="44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ind w:left="0" w:hanging="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0" w:hanging="2"/>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lang w:val="uk-UA"/>
              </w:rPr>
              <w:t xml:space="preserve">З  01.02.2023 року </w:t>
            </w:r>
            <w:r>
              <w:rPr>
                <w:rFonts w:eastAsia="Times New Roman" w:cs="Times New Roman" w:ascii="Times New Roman" w:hAnsi="Times New Roman"/>
                <w:sz w:val="24"/>
                <w:szCs w:val="24"/>
              </w:rPr>
              <w:t>до 31</w:t>
            </w:r>
            <w:r>
              <w:rPr>
                <w:rFonts w:eastAsia="Times New Roman" w:cs="Times New Roman" w:ascii="Times New Roman" w:hAnsi="Times New Roman"/>
                <w:sz w:val="24"/>
                <w:szCs w:val="24"/>
                <w:lang w:val="uk-UA"/>
              </w:rPr>
              <w:t xml:space="preserve">.12.2023 року </w:t>
            </w:r>
            <w:r>
              <w:rPr>
                <w:rFonts w:eastAsia="Times New Roman" w:cs="Times New Roman" w:ascii="Times New Roman" w:hAnsi="Times New Roman"/>
                <w:sz w:val="24"/>
                <w:szCs w:val="24"/>
              </w:rPr>
              <w:t>включно.</w:t>
            </w:r>
          </w:p>
        </w:tc>
      </w:tr>
    </w:tbl>
    <w:p>
      <w:pPr>
        <w:pStyle w:val="Normal"/>
        <w:tabs>
          <w:tab w:val="clear" w:pos="720"/>
          <w:tab w:val="left" w:pos="284" w:leader="none"/>
        </w:tabs>
        <w:spacing w:lineRule="auto" w:line="240" w:before="0" w:after="0"/>
        <w:ind w:left="0" w:hanging="2"/>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1"/>
        </w:numPr>
        <w:tabs>
          <w:tab w:val="clear" w:pos="720"/>
          <w:tab w:val="left" w:pos="284" w:leader="none"/>
          <w:tab w:val="left" w:pos="993" w:leader="none"/>
          <w:tab w:val="left" w:pos="1560" w:leader="none"/>
        </w:tabs>
        <w:spacing w:before="0" w:after="0"/>
        <w:ind w:left="0"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Постачання природного газу, його технічні та якісні характеристики повинні відповідати  нормам чинного законодавства України:</w:t>
      </w:r>
    </w:p>
    <w:p>
      <w:pPr>
        <w:pStyle w:val="Normal"/>
        <w:numPr>
          <w:ilvl w:val="0"/>
          <w:numId w:val="2"/>
        </w:numPr>
        <w:tabs>
          <w:tab w:val="clear" w:pos="720"/>
          <w:tab w:val="left" w:pos="284" w:leader="none"/>
          <w:tab w:val="left" w:pos="993" w:leader="none"/>
          <w:tab w:val="left" w:pos="1560" w:leader="none"/>
        </w:tabs>
        <w:spacing w:before="0" w:after="0"/>
        <w:ind w:left="0"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Закону </w:t>
      </w:r>
      <w:r>
        <w:rPr>
          <w:rFonts w:eastAsia="Times New Roman" w:cs="Times New Roman" w:ascii="Times New Roman" w:hAnsi="Times New Roman"/>
          <w:sz w:val="24"/>
          <w:szCs w:val="24"/>
          <w:lang w:val="uk-UA"/>
        </w:rPr>
        <w:t>України</w:t>
      </w:r>
      <w:r>
        <w:rPr>
          <w:rFonts w:eastAsia="Times New Roman" w:cs="Times New Roman" w:ascii="Times New Roman" w:hAnsi="Times New Roman"/>
          <w:sz w:val="24"/>
          <w:szCs w:val="24"/>
        </w:rPr>
        <w:t xml:space="preserve"> «Про ринок природного газу» № 329-VIII від 09.04.2015;</w:t>
      </w:r>
    </w:p>
    <w:p>
      <w:pPr>
        <w:pStyle w:val="Normal"/>
        <w:numPr>
          <w:ilvl w:val="0"/>
          <w:numId w:val="2"/>
        </w:numPr>
        <w:tabs>
          <w:tab w:val="clear" w:pos="720"/>
          <w:tab w:val="left" w:pos="284" w:leader="none"/>
          <w:tab w:val="left" w:pos="993" w:leader="none"/>
          <w:tab w:val="left" w:pos="1560" w:leader="none"/>
        </w:tabs>
        <w:spacing w:before="0" w:after="0"/>
        <w:ind w:left="0"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pPr>
        <w:pStyle w:val="Normal"/>
        <w:numPr>
          <w:ilvl w:val="0"/>
          <w:numId w:val="2"/>
        </w:numPr>
        <w:tabs>
          <w:tab w:val="clear" w:pos="720"/>
          <w:tab w:val="left" w:pos="284" w:leader="none"/>
          <w:tab w:val="left" w:pos="993" w:leader="none"/>
          <w:tab w:val="left" w:pos="1560" w:leader="none"/>
        </w:tabs>
        <w:spacing w:before="0" w:after="0"/>
        <w:ind w:left="0"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pPr>
        <w:pStyle w:val="Normal"/>
        <w:numPr>
          <w:ilvl w:val="0"/>
          <w:numId w:val="2"/>
        </w:numPr>
        <w:tabs>
          <w:tab w:val="clear" w:pos="720"/>
          <w:tab w:val="left" w:pos="284" w:leader="none"/>
          <w:tab w:val="left" w:pos="993" w:leader="none"/>
          <w:tab w:val="left" w:pos="1560" w:leader="none"/>
        </w:tabs>
        <w:spacing w:before="0" w:after="0"/>
        <w:ind w:left="0"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pPr>
        <w:pStyle w:val="Normal"/>
        <w:numPr>
          <w:ilvl w:val="0"/>
          <w:numId w:val="2"/>
        </w:numPr>
        <w:tabs>
          <w:tab w:val="clear" w:pos="720"/>
          <w:tab w:val="left" w:pos="284" w:leader="none"/>
          <w:tab w:val="left" w:pos="993" w:leader="none"/>
          <w:tab w:val="left" w:pos="1560" w:leader="none"/>
        </w:tabs>
        <w:spacing w:before="0" w:after="0"/>
        <w:ind w:left="0"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іншим нормативно-правовим актам, прийнятим на виконання Закону України «Про ринок природного газу».</w:t>
      </w:r>
    </w:p>
    <w:p>
      <w:pPr>
        <w:pStyle w:val="Normal"/>
        <w:ind w:left="0" w:hanging="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1"/>
        </w:numPr>
        <w:tabs>
          <w:tab w:val="clear" w:pos="720"/>
          <w:tab w:val="left" w:pos="993" w:leader="none"/>
        </w:tabs>
        <w:spacing w:before="0" w:after="0"/>
        <w:ind w:left="0" w:hanging="2"/>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Вимоги щодо якості </w:t>
      </w:r>
      <w:r>
        <w:rPr>
          <w:rFonts w:eastAsia="Times New Roman" w:cs="Times New Roman" w:ascii="Times New Roman" w:hAnsi="Times New Roman"/>
          <w:b/>
          <w:sz w:val="24"/>
          <w:szCs w:val="24"/>
        </w:rPr>
        <w:t>предмета закупівлі</w:t>
      </w:r>
      <w:r>
        <w:rPr>
          <w:rFonts w:eastAsia="Times New Roman" w:cs="Times New Roman" w:ascii="Times New Roman" w:hAnsi="Times New Roman"/>
          <w:b/>
          <w:color w:val="000000"/>
          <w:sz w:val="24"/>
          <w:szCs w:val="24"/>
        </w:rPr>
        <w:t xml:space="preserve">. </w:t>
      </w:r>
    </w:p>
    <w:p>
      <w:pPr>
        <w:pStyle w:val="Normal"/>
        <w:shd w:val="clear" w:color="auto" w:fill="FFFFFF"/>
        <w:spacing w:before="0" w:after="0"/>
        <w:ind w:left="0"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pPr>
        <w:pStyle w:val="Normal"/>
        <w:shd w:val="clear" w:color="auto" w:fill="FFFFFF"/>
        <w:spacing w:before="0" w:after="0"/>
        <w:ind w:left="0" w:hanging="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pPr>
        <w:pStyle w:val="Normal"/>
        <w:spacing w:before="0" w:after="0"/>
        <w:ind w:left="0"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1"/>
        </w:numPr>
        <w:tabs>
          <w:tab w:val="clear" w:pos="720"/>
          <w:tab w:val="left" w:pos="284" w:leader="none"/>
          <w:tab w:val="left" w:pos="993" w:leader="none"/>
          <w:tab w:val="left" w:pos="1560" w:leader="none"/>
        </w:tabs>
        <w:spacing w:before="0" w:after="0"/>
        <w:ind w:left="0" w:hanging="2"/>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Особливі вимоги до предмета закупівлі.</w:t>
      </w:r>
    </w:p>
    <w:p>
      <w:pPr>
        <w:pStyle w:val="Normal"/>
        <w:tabs>
          <w:tab w:val="clear" w:pos="720"/>
          <w:tab w:val="left" w:pos="284" w:leader="none"/>
          <w:tab w:val="left" w:pos="993" w:leader="none"/>
          <w:tab w:val="left" w:pos="1560" w:leader="none"/>
        </w:tabs>
        <w:spacing w:before="0" w:after="0"/>
        <w:ind w:left="0" w:hanging="2"/>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pPr>
        <w:pStyle w:val="Normal"/>
        <w:tabs>
          <w:tab w:val="clear" w:pos="720"/>
          <w:tab w:val="left" w:pos="284" w:leader="none"/>
          <w:tab w:val="left" w:pos="993" w:leader="none"/>
          <w:tab w:val="left" w:pos="1560" w:leader="none"/>
        </w:tabs>
        <w:spacing w:before="0" w:after="0"/>
        <w:ind w:left="0" w:hanging="2"/>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sz w:val="24"/>
          <w:szCs w:val="24"/>
          <w:highlight w:val="white"/>
        </w:rPr>
        <w:t xml:space="preserve">Ціна на предмет даної закупівлі обов'язково повинна включати до вартості ціни тендерної пропозиції вартість </w:t>
      </w:r>
      <w:r>
        <w:rPr>
          <w:rFonts w:eastAsia="Times New Roman" w:cs="Times New Roman" w:ascii="Times New Roman" w:hAnsi="Times New Roman"/>
          <w:b/>
          <w:sz w:val="24"/>
          <w:szCs w:val="24"/>
          <w:highlight w:val="white"/>
        </w:rPr>
        <w:t>послуг, пов’язаних з транспортуванням газу</w:t>
      </w:r>
      <w:r>
        <w:rPr>
          <w:rFonts w:eastAsia="Times New Roman" w:cs="Times New Roman" w:ascii="Times New Roman" w:hAnsi="Times New Roman"/>
          <w:sz w:val="24"/>
          <w:szCs w:val="24"/>
          <w:highlight w:val="white"/>
        </w:rPr>
        <w:t xml:space="preserve"> до точки входу в газорозподільну систему, до якої підключено об’єкти Замовника, а саме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pPr>
        <w:pStyle w:val="Normal"/>
        <w:tabs>
          <w:tab w:val="clear" w:pos="720"/>
          <w:tab w:val="left" w:pos="284" w:leader="none"/>
          <w:tab w:val="left" w:pos="993" w:leader="none"/>
          <w:tab w:val="left" w:pos="1560" w:leader="none"/>
        </w:tabs>
        <w:spacing w:before="0" w:after="0"/>
        <w:ind w:left="0" w:hanging="2"/>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sz w:val="24"/>
          <w:szCs w:val="24"/>
          <w:highlight w:val="white"/>
        </w:rPr>
        <w:t xml:space="preserve">При цьому до ціни газу </w:t>
      </w:r>
      <w:r>
        <w:rPr>
          <w:rFonts w:eastAsia="Times New Roman" w:cs="Times New Roman" w:ascii="Times New Roman" w:hAnsi="Times New Roman"/>
          <w:b/>
          <w:sz w:val="24"/>
          <w:szCs w:val="24"/>
          <w:highlight w:val="white"/>
        </w:rPr>
        <w:t>не включається вартість послуг з розподілу природного газу</w:t>
      </w:r>
      <w:r>
        <w:rPr>
          <w:rFonts w:eastAsia="Times New Roman" w:cs="Times New Roman" w:ascii="Times New Roman" w:hAnsi="Times New Roman"/>
          <w:sz w:val="24"/>
          <w:szCs w:val="24"/>
          <w:highlight w:val="white"/>
        </w:rPr>
        <w:t>, що є предметом регулювання окремого договору між Замовником та Оператором газорозподільної системи.</w:t>
      </w:r>
    </w:p>
    <w:p>
      <w:pPr>
        <w:pStyle w:val="Normal"/>
        <w:tabs>
          <w:tab w:val="clear" w:pos="720"/>
          <w:tab w:val="left" w:pos="284" w:leader="none"/>
          <w:tab w:val="left" w:pos="993" w:leader="none"/>
          <w:tab w:val="left" w:pos="1560" w:leader="none"/>
        </w:tabs>
        <w:ind w:left="0" w:hanging="2"/>
        <w:rPr>
          <w:rFonts w:ascii="Times New Roman" w:hAnsi="Times New Roman" w:eastAsia="Times New Roman" w:cs="Times New Roman"/>
          <w:sz w:val="24"/>
          <w:szCs w:val="24"/>
        </w:rPr>
      </w:pPr>
      <w:r>
        <w:rPr>
          <w:rFonts w:eastAsia="Times New Roman" w:cs="Times New Roman" w:ascii="Times New Roman" w:hAnsi="Times New Roman"/>
          <w:sz w:val="24"/>
          <w:szCs w:val="24"/>
        </w:rPr>
        <w:tab/>
      </w:r>
    </w:p>
    <w:p>
      <w:pPr>
        <w:pStyle w:val="Normal"/>
        <w:spacing w:before="0" w:after="0"/>
        <w:ind w:left="0"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ind w:left="0" w:hanging="2"/>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r>
    </w:p>
    <w:p>
      <w:pPr>
        <w:pStyle w:val="Normal"/>
        <w:tabs>
          <w:tab w:val="clear" w:pos="720"/>
          <w:tab w:val="left" w:pos="993" w:leader="none"/>
          <w:tab w:val="left" w:pos="1560" w:leader="none"/>
        </w:tabs>
        <w:spacing w:before="0" w:after="160"/>
        <w:ind w:left="0" w:right="-2" w:hanging="2"/>
        <w:jc w:val="both"/>
        <w:rPr>
          <w:rFonts w:ascii="Times New Roman" w:hAnsi="Times New Roman" w:eastAsia="Times New Roman" w:cs="Times New Roman"/>
          <w:color w:val="000000"/>
          <w:sz w:val="24"/>
          <w:szCs w:val="24"/>
        </w:rPr>
      </w:pPr>
      <w:r>
        <w:rPr/>
      </w:r>
    </w:p>
    <w:sectPr>
      <w:type w:val="nextPage"/>
      <w:pgSz w:w="11906" w:h="16838"/>
      <w:pgMar w:left="1417" w:right="850" w:header="0" w:top="850" w:footer="0" w:bottom="85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 w:name="Georgia">
    <w:charset w:val="cc"/>
    <w:family w:val="roman"/>
    <w:pitch w:val="variable"/>
  </w:font>
  <w:font w:name="Wingdings">
    <w:charset w:val="02"/>
    <w:family w:val="auto"/>
    <w:pitch w:val="variable"/>
  </w:font>
  <w:font w:name="Wingdings 2">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vertAlign w:val="baseline"/>
        <w:position w:val="0"/>
        <w:sz w:val="22"/>
        <w:sz w:val="22"/>
        <w:b/>
      </w:rPr>
    </w:lvl>
    <w:lvl w:ilvl="1">
      <w:start w:val="1"/>
      <w:numFmt w:val="lowerLetter"/>
      <w:lvlText w:val="%2."/>
      <w:lvlJc w:val="left"/>
      <w:pPr>
        <w:tabs>
          <w:tab w:val="num" w:pos="0"/>
        </w:tabs>
        <w:ind w:left="1440" w:hanging="360"/>
      </w:pPr>
      <w:rPr>
        <w:vertAlign w:val="baseline"/>
        <w:position w:val="0"/>
        <w:sz w:val="22"/>
        <w:sz w:val="22"/>
      </w:rPr>
    </w:lvl>
    <w:lvl w:ilvl="2">
      <w:start w:val="1"/>
      <w:numFmt w:val="lowerRoman"/>
      <w:lvlText w:val="%3."/>
      <w:lvlJc w:val="right"/>
      <w:pPr>
        <w:tabs>
          <w:tab w:val="num" w:pos="0"/>
        </w:tabs>
        <w:ind w:left="2160" w:hanging="180"/>
      </w:pPr>
      <w:rPr>
        <w:vertAlign w:val="baseline"/>
        <w:position w:val="0"/>
        <w:sz w:val="22"/>
        <w:sz w:val="22"/>
      </w:rPr>
    </w:lvl>
    <w:lvl w:ilvl="3">
      <w:start w:val="1"/>
      <w:numFmt w:val="decimal"/>
      <w:lvlText w:val="%4."/>
      <w:lvlJc w:val="left"/>
      <w:pPr>
        <w:tabs>
          <w:tab w:val="num" w:pos="0"/>
        </w:tabs>
        <w:ind w:left="2880" w:hanging="360"/>
      </w:pPr>
      <w:rPr>
        <w:vertAlign w:val="baseline"/>
        <w:position w:val="0"/>
        <w:sz w:val="22"/>
        <w:sz w:val="22"/>
      </w:rPr>
    </w:lvl>
    <w:lvl w:ilvl="4">
      <w:start w:val="1"/>
      <w:numFmt w:val="lowerLetter"/>
      <w:lvlText w:val="%5."/>
      <w:lvlJc w:val="left"/>
      <w:pPr>
        <w:tabs>
          <w:tab w:val="num" w:pos="0"/>
        </w:tabs>
        <w:ind w:left="3600" w:hanging="360"/>
      </w:pPr>
      <w:rPr>
        <w:vertAlign w:val="baseline"/>
        <w:position w:val="0"/>
        <w:sz w:val="22"/>
        <w:sz w:val="22"/>
      </w:rPr>
    </w:lvl>
    <w:lvl w:ilvl="5">
      <w:start w:val="1"/>
      <w:numFmt w:val="lowerRoman"/>
      <w:lvlText w:val="%6."/>
      <w:lvlJc w:val="right"/>
      <w:pPr>
        <w:tabs>
          <w:tab w:val="num" w:pos="0"/>
        </w:tabs>
        <w:ind w:left="4320" w:hanging="180"/>
      </w:pPr>
      <w:rPr>
        <w:vertAlign w:val="baseline"/>
        <w:position w:val="0"/>
        <w:sz w:val="22"/>
        <w:sz w:val="22"/>
      </w:rPr>
    </w:lvl>
    <w:lvl w:ilvl="6">
      <w:start w:val="1"/>
      <w:numFmt w:val="decimal"/>
      <w:lvlText w:val="%7."/>
      <w:lvlJc w:val="left"/>
      <w:pPr>
        <w:tabs>
          <w:tab w:val="num" w:pos="0"/>
        </w:tabs>
        <w:ind w:left="5040" w:hanging="360"/>
      </w:pPr>
      <w:rPr>
        <w:vertAlign w:val="baseline"/>
        <w:position w:val="0"/>
        <w:sz w:val="22"/>
        <w:sz w:val="22"/>
      </w:rPr>
    </w:lvl>
    <w:lvl w:ilvl="7">
      <w:start w:val="1"/>
      <w:numFmt w:val="lowerLetter"/>
      <w:lvlText w:val="%8."/>
      <w:lvlJc w:val="left"/>
      <w:pPr>
        <w:tabs>
          <w:tab w:val="num" w:pos="0"/>
        </w:tabs>
        <w:ind w:left="5760" w:hanging="360"/>
      </w:pPr>
      <w:rPr>
        <w:vertAlign w:val="baseline"/>
        <w:position w:val="0"/>
        <w:sz w:val="22"/>
        <w:sz w:val="22"/>
      </w:rPr>
    </w:lvl>
    <w:lvl w:ilvl="8">
      <w:start w:val="1"/>
      <w:numFmt w:val="lowerRoman"/>
      <w:lvlText w:val="%9."/>
      <w:lvlJc w:val="right"/>
      <w:pPr>
        <w:tabs>
          <w:tab w:val="num" w:pos="0"/>
        </w:tabs>
        <w:ind w:left="6480" w:hanging="180"/>
      </w:pPr>
      <w:rPr>
        <w:vertAlign w:val="baseline"/>
        <w:position w:val="0"/>
        <w:sz w:val="22"/>
        <w:sz w:val="22"/>
      </w:rPr>
    </w:lvl>
  </w:abstractNum>
  <w:abstractNum w:abstractNumId="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00"/>
  <w:defaultTabStop w:val="720"/>
  <w:autoHyphenation w:val="true"/>
  <w:compat>
    <w:compatSetting w:name="compatibilityMode" w:uri="http://schemas.microsoft.com/office/word" w:val="14"/>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uk-U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ind w:left="-1" w:hanging="1"/>
      <w:jc w:val="left"/>
      <w:textAlignment w:val="top"/>
      <w:outlineLvl w:val="0"/>
    </w:pPr>
    <w:rPr>
      <w:rFonts w:ascii="Calibri" w:hAnsi="Calibri" w:eastAsia="Calibri" w:cs="Calibri"/>
      <w:color w:val="auto"/>
      <w:kern w:val="0"/>
      <w:sz w:val="22"/>
      <w:szCs w:val="22"/>
      <w:vertAlign w:val="subscript"/>
      <w:lang w:val="ru-RU" w:eastAsia="en-US" w:bidi="ar-SA"/>
    </w:rPr>
  </w:style>
  <w:style w:type="paragraph" w:styleId="1">
    <w:name w:val="Heading 1"/>
    <w:basedOn w:val="Normal"/>
    <w:next w:val="Normal"/>
    <w:qFormat/>
    <w:pPr>
      <w:keepNext w:val="true"/>
      <w:spacing w:lineRule="auto" w:line="240" w:before="0" w:after="0"/>
      <w:ind w:left="-1" w:right="-567" w:hanging="1"/>
      <w:jc w:val="both"/>
    </w:pPr>
    <w:rPr>
      <w:rFonts w:ascii="Times New Roman" w:hAnsi="Times New Roman" w:eastAsia="Times New Roman"/>
      <w:b/>
      <w:i/>
      <w:sz w:val="28"/>
      <w:szCs w:val="20"/>
      <w:lang w:val="uk-UA" w:eastAsia="ru-RU"/>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Основной текст Знак"/>
    <w:qFormat/>
    <w:rPr>
      <w:rFonts w:ascii="Times New Roman" w:hAnsi="Times New Roman" w:eastAsia="Times New Roman" w:cs="Times New Roman"/>
      <w:w w:val="100"/>
      <w:position w:val="0"/>
      <w:sz w:val="24"/>
      <w:sz w:val="24"/>
      <w:szCs w:val="24"/>
      <w:effect w:val="none"/>
      <w:vertAlign w:val="baseline"/>
      <w:em w:val="none"/>
      <w:lang w:val="uk-UA" w:eastAsia="uk-UA"/>
    </w:rPr>
  </w:style>
  <w:style w:type="character" w:styleId="Style9" w:customStyle="1">
    <w:name w:val="Название Знак"/>
    <w:qFormat/>
    <w:rPr>
      <w:rFonts w:ascii="Cambria" w:hAnsi="Cambria" w:cs="Times New Roman"/>
      <w:b/>
      <w:bCs/>
      <w:w w:val="100"/>
      <w:kern w:val="2"/>
      <w:position w:val="0"/>
      <w:sz w:val="32"/>
      <w:sz w:val="32"/>
      <w:szCs w:val="32"/>
      <w:effect w:val="none"/>
      <w:vertAlign w:val="baseline"/>
      <w:em w:val="none"/>
    </w:rPr>
  </w:style>
  <w:style w:type="character" w:styleId="Style10" w:customStyle="1">
    <w:name w:val="Заголовок Знак"/>
    <w:qFormat/>
    <w:rPr>
      <w:rFonts w:ascii="Calibri Light" w:hAnsi="Calibri Light" w:eastAsia="Times New Roman" w:cs="Times New Roman"/>
      <w:spacing w:val="-10"/>
      <w:w w:val="100"/>
      <w:kern w:val="2"/>
      <w:position w:val="0"/>
      <w:sz w:val="56"/>
      <w:sz w:val="56"/>
      <w:szCs w:val="56"/>
      <w:effect w:val="none"/>
      <w:vertAlign w:val="baseline"/>
      <w:em w:val="none"/>
    </w:rPr>
  </w:style>
  <w:style w:type="character" w:styleId="21" w:customStyle="1">
    <w:name w:val="Абзац списка Знак;Список уровня 2 Знак"/>
    <w:qFormat/>
    <w:rPr>
      <w:w w:val="100"/>
      <w:position w:val="0"/>
      <w:sz w:val="22"/>
      <w:sz w:val="22"/>
      <w:szCs w:val="22"/>
      <w:effect w:val="none"/>
      <w:vertAlign w:val="baseline"/>
      <w:em w:val="none"/>
      <w:lang w:val="ru-RU" w:eastAsia="en-US"/>
    </w:rPr>
  </w:style>
  <w:style w:type="character" w:styleId="Rvts0" w:customStyle="1">
    <w:name w:val="rvts0"/>
    <w:basedOn w:val="DefaultParagraphFont"/>
    <w:qFormat/>
    <w:rPr>
      <w:w w:val="100"/>
      <w:position w:val="0"/>
      <w:sz w:val="22"/>
      <w:sz w:val="22"/>
      <w:effect w:val="none"/>
      <w:vertAlign w:val="baseline"/>
      <w:em w:val="none"/>
    </w:rPr>
  </w:style>
  <w:style w:type="character" w:styleId="Style11" w:customStyle="1">
    <w:name w:val="Текст выноски Знак"/>
    <w:qFormat/>
    <w:rPr>
      <w:rFonts w:ascii="Segoe UI" w:hAnsi="Segoe UI" w:cs="Segoe UI"/>
      <w:w w:val="100"/>
      <w:position w:val="0"/>
      <w:sz w:val="18"/>
      <w:sz w:val="18"/>
      <w:szCs w:val="18"/>
      <w:effect w:val="none"/>
      <w:vertAlign w:val="baseline"/>
      <w:em w:val="none"/>
      <w:lang w:eastAsia="en-US"/>
    </w:rPr>
  </w:style>
  <w:style w:type="character" w:styleId="11" w:customStyle="1">
    <w:name w:val="Заголовок 1 Знак"/>
    <w:qFormat/>
    <w:rPr>
      <w:rFonts w:ascii="Times New Roman" w:hAnsi="Times New Roman" w:eastAsia="Times New Roman"/>
      <w:b/>
      <w:i/>
      <w:w w:val="100"/>
      <w:position w:val="0"/>
      <w:sz w:val="28"/>
      <w:sz w:val="28"/>
      <w:effect w:val="none"/>
      <w:vertAlign w:val="baseline"/>
      <w:em w:val="none"/>
      <w:lang w:val="uk-UA"/>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40" w:before="0" w:after="120"/>
      <w:jc w:val="both"/>
    </w:pPr>
    <w:rPr>
      <w:rFonts w:ascii="Times New Roman" w:hAnsi="Times New Roman" w:eastAsia="Times New Roman" w:cs="Times New Roman"/>
      <w:sz w:val="24"/>
      <w:szCs w:val="24"/>
      <w:lang w:val="uk-UA" w:eastAsia="uk-UA"/>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Покажчик"/>
    <w:basedOn w:val="Normal"/>
    <w:qFormat/>
    <w:pPr>
      <w:suppressLineNumbers/>
    </w:pPr>
    <w:rPr>
      <w:rFonts w:cs="Arial"/>
    </w:rPr>
  </w:style>
  <w:style w:type="paragraph" w:styleId="Style17">
    <w:name w:val="Title"/>
    <w:basedOn w:val="Normal"/>
    <w:next w:val="Normal"/>
    <w:qFormat/>
    <w:pPr>
      <w:spacing w:lineRule="auto" w:line="240" w:before="0" w:after="0"/>
      <w:contextualSpacing/>
    </w:pPr>
    <w:rPr>
      <w:rFonts w:ascii="Calibri Light" w:hAnsi="Calibri Light" w:eastAsia="Times New Roman" w:cs="Times New Roman"/>
      <w:spacing w:val="-10"/>
      <w:kern w:val="2"/>
      <w:sz w:val="56"/>
      <w:szCs w:val="56"/>
    </w:rPr>
  </w:style>
  <w:style w:type="paragraph" w:styleId="12" w:customStyle="1">
    <w:name w:val="Без интервала1"/>
    <w:qFormat/>
    <w:pPr>
      <w:widowControl/>
      <w:suppressAutoHyphens w:val="true"/>
      <w:bidi w:val="0"/>
      <w:spacing w:lineRule="atLeast" w:line="1" w:before="0" w:after="160"/>
      <w:ind w:left="-1" w:hanging="1"/>
      <w:jc w:val="left"/>
      <w:textAlignment w:val="top"/>
      <w:outlineLvl w:val="0"/>
    </w:pPr>
    <w:rPr>
      <w:rFonts w:ascii="Times New Roman" w:hAnsi="Times New Roman" w:eastAsia="Times New Roman" w:cs="Calibri"/>
      <w:color w:val="auto"/>
      <w:kern w:val="0"/>
      <w:sz w:val="24"/>
      <w:szCs w:val="24"/>
      <w:vertAlign w:val="subscript"/>
      <w:lang w:val="ru-RU" w:eastAsia="uk-UA" w:bidi="ar-SA"/>
    </w:rPr>
  </w:style>
  <w:style w:type="paragraph" w:styleId="NoSpacing">
    <w:name w:val="No Spacing"/>
    <w:qFormat/>
    <w:pPr>
      <w:widowControl/>
      <w:suppressAutoHyphens w:val="true"/>
      <w:bidi w:val="0"/>
      <w:spacing w:lineRule="atLeast" w:line="1" w:before="0" w:after="160"/>
      <w:ind w:left="-1" w:hanging="1"/>
      <w:jc w:val="left"/>
      <w:textAlignment w:val="top"/>
      <w:outlineLvl w:val="0"/>
    </w:pPr>
    <w:rPr>
      <w:rFonts w:ascii="Calibri" w:hAnsi="Calibri" w:eastAsia="Calibri" w:cs="Calibri"/>
      <w:color w:val="auto"/>
      <w:kern w:val="0"/>
      <w:sz w:val="22"/>
      <w:szCs w:val="22"/>
      <w:vertAlign w:val="subscript"/>
      <w:lang w:val="ru-RU" w:eastAsia="uk-UA" w:bidi="ar-SA"/>
    </w:rPr>
  </w:style>
  <w:style w:type="paragraph" w:styleId="22" w:customStyle="1">
    <w:name w:val="Абзац списка;Список уровня 2"/>
    <w:basedOn w:val="Normal"/>
    <w:qFormat/>
    <w:pPr>
      <w:spacing w:before="0" w:after="160"/>
      <w:ind w:left="720" w:hanging="1"/>
      <w:contextualSpacing/>
    </w:pPr>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13" w:customStyle="1">
    <w:name w:val="Обычный1"/>
    <w:qFormat/>
    <w:pPr>
      <w:widowControl/>
      <w:suppressAutoHyphens w:val="true"/>
      <w:bidi w:val="0"/>
      <w:spacing w:lineRule="auto" w:line="276" w:before="0" w:after="160"/>
      <w:ind w:left="-1" w:hanging="1"/>
      <w:jc w:val="left"/>
      <w:textAlignment w:val="top"/>
      <w:outlineLvl w:val="0"/>
    </w:pPr>
    <w:rPr>
      <w:rFonts w:ascii="Arial" w:hAnsi="Arial" w:eastAsia="Times New Roman" w:cs="Arial"/>
      <w:color w:val="000000"/>
      <w:kern w:val="0"/>
      <w:sz w:val="22"/>
      <w:szCs w:val="22"/>
      <w:vertAlign w:val="subscript"/>
      <w:lang w:val="ru-RU" w:eastAsia="uk-UA" w:bidi="ar-SA"/>
    </w:rPr>
  </w:style>
  <w:style w:type="paragraph" w:styleId="Style18">
    <w:name w:val="Subtitle"/>
    <w:basedOn w:val="Normal"/>
    <w:next w:val="Normal"/>
    <w:qFormat/>
    <w:pPr>
      <w:keepNext w:val="true"/>
      <w:keepLines/>
      <w:spacing w:before="360" w:after="80"/>
      <w:ind w:left="0" w:hanging="1"/>
    </w:pPr>
    <w:rPr>
      <w:rFonts w:ascii="Georgia" w:hAnsi="Georgia" w:eastAsia="Georgia" w:cs="Georgia"/>
      <w:i/>
      <w:color w:val="666666"/>
      <w:sz w:val="48"/>
      <w:szCs w:val="48"/>
    </w:rPr>
  </w:style>
  <w:style w:type="paragraph" w:styleId="Style19">
    <w:name w:val="Вміст таблиці"/>
    <w:basedOn w:val="Normal"/>
    <w:qFormat/>
    <w:pPr>
      <w:widowControl w:val="false"/>
      <w:suppressLineNumbers/>
    </w:pPr>
    <w:rPr/>
  </w:style>
  <w:style w:type="paragraph" w:styleId="NormalWeb">
    <w:name w:val="Normal (Web)"/>
    <w:basedOn w:val="Normal"/>
    <w:qFormat/>
    <w:pPr/>
    <w:rPr/>
  </w:style>
  <w:style w:type="paragraph" w:styleId="Style20">
    <w:name w:val="Заголовок таблиці"/>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a">
    <w:name w:val="Table Grid"/>
    <w:basedOn w:val="a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ms2OwiMf3fIbi1QkWcAIcrt51lg==">AMUW2mXsKWG13UoGawTFbprAzmdTPgko8dU6yx8qnqS7SIFI8boIk8yr7dQDebJivgUxua2DvcmENx2jXTcqT8rydxTDkUmyewFuoQoxCXXOLVNkQan1cgVVORaVmpo0ESEWwDtEUS1A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Application>LibreOffice/7.1.6.2$Windows_X86_64 LibreOffice_project/0e133318fcee89abacd6a7d077e292f1145735c3</Application>
  <AppVersion>15.0000</AppVersion>
  <Pages>2</Pages>
  <Words>710</Words>
  <Characters>4831</Characters>
  <CharactersWithSpaces>5499</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2020-09-30T09:32:00Z</dcterms:created>
  <dc:creator>userua12</dc:creator>
  <dc:description/>
  <dc:language>ru-RU</dc:language>
  <cp:lastModifiedBy/>
  <cp:lastPrinted>2022-11-30T09:00:00Z</cp:lastPrinted>
  <dcterms:modified xsi:type="dcterms:W3CDTF">2023-01-31T11:17:47Z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