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0" w:after="0"/>
        <w:ind w:left="5660" w:firstLine="700"/>
        <w:jc w:val="right"/>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ДОДАТОК 1</w:t>
      </w:r>
    </w:p>
    <w:p>
      <w:pPr>
        <w:pStyle w:val="Normal"/>
        <w:spacing w:lineRule="auto" w:line="240" w:before="0" w:after="0"/>
        <w:ind w:left="5660" w:firstLine="700"/>
        <w:jc w:val="right"/>
        <w:rPr>
          <w:rFonts w:ascii="Times New Roman" w:hAnsi="Times New Roman" w:eastAsia="Times New Roman" w:cs="Times New Roman"/>
          <w:sz w:val="20"/>
          <w:szCs w:val="20"/>
          <w:lang w:val="uk-UA"/>
        </w:rPr>
      </w:pPr>
      <w:r>
        <w:rPr>
          <w:rFonts w:eastAsia="Times New Roman" w:cs="Times New Roman" w:ascii="Times New Roman" w:hAnsi="Times New Roman"/>
          <w:i/>
          <w:color w:val="000000"/>
          <w:sz w:val="20"/>
          <w:szCs w:val="20"/>
        </w:rPr>
        <w:t>до тендерної документації</w:t>
      </w:r>
    </w:p>
    <w:p>
      <w:pPr>
        <w:pStyle w:val="Normal"/>
        <w:spacing w:lineRule="auto" w:line="240" w:before="0" w:after="0"/>
        <w:ind w:left="885" w:hanging="0"/>
        <w:jc w:val="center"/>
        <w:rPr>
          <w:rFonts w:ascii="Times New Roman" w:hAnsi="Times New Roman" w:eastAsia="Times New Roman" w:cs="Times New Roman"/>
          <w:b/>
          <w:b/>
          <w:i/>
          <w:i/>
          <w:color w:val="4472C4"/>
          <w:sz w:val="20"/>
          <w:szCs w:val="20"/>
        </w:rPr>
      </w:pPr>
      <w:r>
        <w:rPr>
          <w:rFonts w:eastAsia="Times New Roman" w:cs="Times New Roman" w:ascii="Times New Roman" w:hAnsi="Times New Roman"/>
          <w:b/>
          <w:i/>
          <w:color w:val="4472C4"/>
          <w:sz w:val="20"/>
          <w:szCs w:val="20"/>
        </w:rPr>
      </w:r>
    </w:p>
    <w:p>
      <w:pPr>
        <w:pStyle w:val="Normal"/>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sz w:val="20"/>
          <w:szCs w:val="20"/>
          <w:lang w:val="uk-UA"/>
        </w:rPr>
        <w:t xml:space="preserve">1. </w:t>
      </w:r>
      <w:r>
        <w:rPr>
          <w:rFonts w:eastAsia="Times New Roman" w:cs="Times New Roman" w:ascii="Times New Roman" w:hAnsi="Times New Roman"/>
          <w:b/>
          <w:sz w:val="20"/>
          <w:szCs w:val="20"/>
        </w:rPr>
        <w:t xml:space="preserve"> </w:t>
      </w:r>
      <w:r>
        <w:rPr>
          <w:rFonts w:eastAsia="Times New Roman" w:cs="Times New Roman" w:ascii="Times New Roman" w:hAnsi="Times New Roman"/>
          <w:b/>
          <w:color w:val="000000"/>
          <w:sz w:val="20"/>
          <w:szCs w:val="20"/>
        </w:rPr>
        <w:t xml:space="preserve">Підтвердження відповідності УЧАСНИКА  вимогам, визначеним у статті 17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(далі – Закон) відповідно до вимог Особливостей.</w:t>
      </w:r>
    </w:p>
    <w:p>
      <w:pPr>
        <w:pStyle w:val="Normal"/>
        <w:spacing w:lineRule="auto" w:line="240" w:before="0" w:after="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0" w:after="0"/>
        <w:ind w:firstLine="72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0" w:after="0"/>
        <w:ind w:firstLine="720"/>
        <w:jc w:val="both"/>
        <w:rPr>
          <w:rFonts w:ascii="Times New Roman" w:hAnsi="Times New Roman" w:eastAsia="Times New Roman" w:cs="Times New Roman"/>
          <w:sz w:val="20"/>
          <w:szCs w:val="20"/>
          <w:highlight w:val="yellow"/>
        </w:rPr>
      </w:pPr>
      <w:r>
        <w:rPr>
          <w:rFonts w:eastAsia="Times New Roman" w:cs="Times New Roman" w:ascii="Times New Roman" w:hAnsi="Times New Roman"/>
          <w:sz w:val="20"/>
          <w:szCs w:val="20"/>
          <w:highlight w:val="yellow"/>
        </w:rPr>
      </w:r>
    </w:p>
    <w:p>
      <w:pPr>
        <w:pStyle w:val="Normal"/>
        <w:spacing w:lineRule="auto" w:line="240" w:before="240" w:after="0"/>
        <w:ind w:firstLine="720"/>
        <w:jc w:val="both"/>
        <w:rPr>
          <w:rFonts w:ascii="Times New Roman" w:hAnsi="Times New Roman" w:eastAsia="Times New Roman" w:cs="Times New Roman"/>
          <w:sz w:val="20"/>
          <w:szCs w:val="20"/>
          <w:highlight w:val="white"/>
        </w:rPr>
      </w:pPr>
      <w:r>
        <w:rPr>
          <w:rFonts w:eastAsia="Times New Roman" w:cs="Times New Roman" w:ascii="Times New Roman" w:hAnsi="Times New Roman"/>
          <w:b/>
          <w:sz w:val="20"/>
          <w:szCs w:val="20"/>
          <w:lang w:val="uk-UA"/>
        </w:rPr>
        <w:t>2</w:t>
      </w:r>
      <w:r>
        <w:rPr>
          <w:rFonts w:eastAsia="Times New Roman" w:cs="Times New Roman" w:ascii="Times New Roman" w:hAnsi="Times New Roman"/>
          <w:b/>
          <w:sz w:val="20"/>
          <w:szCs w:val="20"/>
        </w:rPr>
        <w:t xml:space="preserve">. </w:t>
      </w:r>
      <w:r>
        <w:rPr>
          <w:rFonts w:eastAsia="Times New Roman" w:cs="Times New Roman" w:ascii="Times New Roman" w:hAnsi="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Про публічні закупівлі</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відповідно до вимог Особливостей:</w:t>
      </w:r>
    </w:p>
    <w:p>
      <w:pPr>
        <w:pStyle w:val="Normal"/>
        <w:spacing w:lineRule="auto" w:line="240" w:before="0" w:after="0"/>
        <w:ind w:firstLine="720"/>
        <w:jc w:val="both"/>
        <w:rPr>
          <w:rFonts w:ascii="Times New Roman" w:hAnsi="Times New Roman" w:eastAsia="Times New Roman" w:cs="Times New Roman"/>
          <w:b/>
          <w:b/>
          <w:sz w:val="20"/>
          <w:szCs w:val="20"/>
        </w:rPr>
      </w:pPr>
      <w:r>
        <w:rPr>
          <w:rFonts w:eastAsia="Times New Roman" w:cs="Times New Roman" w:ascii="Times New Roman" w:hAnsi="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0" w:after="0"/>
        <w:ind w:firstLine="720"/>
        <w:jc w:val="both"/>
        <w:rPr>
          <w:rFonts w:ascii="Times New Roman" w:hAnsi="Times New Roman" w:eastAsia="Times New Roman" w:cs="Times New Roman"/>
          <w:b/>
          <w:b/>
          <w:sz w:val="20"/>
          <w:szCs w:val="20"/>
        </w:rPr>
      </w:pPr>
      <w:bookmarkStart w:id="0" w:name="_heading=h.30j0zll"/>
      <w:bookmarkEnd w:id="0"/>
      <w:r>
        <w:rPr>
          <w:rFonts w:eastAsia="Times New Roman" w:cs="Times New Roman" w:ascii="Times New Roman" w:hAnsi="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lang w:val="uk-UA"/>
        </w:rPr>
        <w:t>2</w:t>
      </w:r>
      <w:r>
        <w:rPr>
          <w:rFonts w:eastAsia="Times New Roman" w:cs="Times New Roman" w:ascii="Times New Roman" w:hAnsi="Times New Roman"/>
          <w:b/>
          <w:color w:val="000000"/>
          <w:sz w:val="20"/>
          <w:szCs w:val="20"/>
        </w:rPr>
        <w:t>.1. Документи, які надаються  ПЕРЕМОЖЦЕМ (юридичною особою):</w:t>
      </w:r>
    </w:p>
    <w:tbl>
      <w:tblPr>
        <w:tblStyle w:val="afc"/>
        <w:tblW w:w="9618"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762"/>
        <w:gridCol w:w="4350"/>
        <w:gridCol w:w="4506"/>
      </w:tblGrid>
      <w:tr>
        <w:trPr>
          <w:trHeight w:val="87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Вимоги статті 17 Закону</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(пункт 3 частини 1 статті 17 Закону)</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eastAsia="Times New Roman" w:cs="Times New Roman" w:ascii="Times New Roman" w:hAnsi="Times New Roman"/>
                <w:b/>
                <w:sz w:val="20"/>
                <w:szCs w:val="20"/>
              </w:rPr>
              <w:t>я службової (посадової) особи учасника процедури закупівлі</w:t>
            </w:r>
            <w:r>
              <w:rPr>
                <w:rFonts w:eastAsia="Times New Roman" w:cs="Times New Roman" w:ascii="Times New Roman" w:hAnsi="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color w:val="000000"/>
                <w:sz w:val="20"/>
                <w:szCs w:val="20"/>
              </w:rPr>
              <w:t> (пункт 6 частини 1 статті 17 Закону)</w:t>
            </w:r>
          </w:p>
        </w:tc>
        <w:tc>
          <w:tcPr>
            <w:tcW w:w="4506"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eastAsia="Times New Roman" w:cs="Times New Roman" w:ascii="Times New Roman" w:hAnsi="Times New Roman"/>
                <w:b/>
                <w:sz w:val="20"/>
                <w:szCs w:val="20"/>
              </w:rPr>
              <w:t>и щодо службової (посадової) особи учасника процедури закупівлі, яка підписала тендерну пропозицію.</w:t>
            </w:r>
            <w:r>
              <w:rPr>
                <w:rFonts w:eastAsia="Times New Roman" w:cs="Times New Roman" w:ascii="Times New Roman" w:hAnsi="Times New Roman"/>
                <w:b/>
                <w:color w:val="000000"/>
                <w:sz w:val="20"/>
                <w:szCs w:val="20"/>
              </w:rPr>
              <w:t xml:space="preserve"> </w:t>
            </w: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rHeight w:val="2535"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color w:val="000000"/>
                <w:sz w:val="20"/>
                <w:szCs w:val="20"/>
              </w:rPr>
              <w:t xml:space="preserve"> (пункт 12 частини 1 статті 17 Закону)</w:t>
            </w:r>
          </w:p>
        </w:tc>
        <w:tc>
          <w:tcPr>
            <w:tcW w:w="4506"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76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(частина 2 статті 17 Закону)</w:t>
            </w:r>
          </w:p>
        </w:tc>
        <w:tc>
          <w:tcPr>
            <w:tcW w:w="450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Довідка в довільній формі</w:t>
            </w:r>
            <w:r>
              <w:rPr>
                <w:rFonts w:eastAsia="Times New Roman" w:cs="Times New Roman"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0" w:after="0"/>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r>
    </w:p>
    <w:p>
      <w:pPr>
        <w:pStyle w:val="Normal"/>
        <w:spacing w:lineRule="auto" w:line="240" w:before="240" w:after="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lang w:val="uk-UA"/>
        </w:rPr>
        <w:t>2</w:t>
      </w:r>
      <w:r>
        <w:rPr>
          <w:rFonts w:eastAsia="Times New Roman" w:cs="Times New Roman" w:ascii="Times New Roman" w:hAnsi="Times New Roman"/>
          <w:b/>
          <w:color w:val="000000"/>
          <w:sz w:val="20"/>
          <w:szCs w:val="20"/>
        </w:rPr>
        <w:t>.2. Документи, які надаються ПЕРЕМОЖЦЕМ (фізичною особою чи фізичною особою</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підприємцем):</w:t>
      </w:r>
    </w:p>
    <w:tbl>
      <w:tblPr>
        <w:tblStyle w:val="afd"/>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584"/>
        <w:gridCol w:w="4430"/>
        <w:gridCol w:w="4605"/>
      </w:tblGrid>
      <w:tr>
        <w:trPr>
          <w:trHeight w:val="750"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з</w:t>
            </w:r>
            <w:r>
              <w:rPr>
                <w:rFonts w:eastAsia="Times New Roman" w:cs="Times New Roman" w:ascii="Times New Roman" w:hAnsi="Times New Roman"/>
                <w:b/>
                <w:color w:val="000000"/>
                <w:sz w:val="20"/>
                <w:szCs w:val="20"/>
              </w:rPr>
              <w:t>/п</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Вимоги статті 17 Закону</w:t>
            </w:r>
          </w:p>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577"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w:t>
            </w:r>
            <w:r>
              <w:rPr>
                <w:rFonts w:eastAsia="Times New Roman" w:cs="Times New Roman" w:ascii="Times New Roman" w:hAnsi="Times New Roman"/>
                <w:b/>
                <w:color w:val="000000"/>
                <w:sz w:val="20"/>
                <w:szCs w:val="20"/>
              </w:rPr>
              <w:t>(пункт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color w:val="000000"/>
                <w:sz w:val="20"/>
                <w:szCs w:val="20"/>
              </w:rPr>
              <w:t>Документ повинен бути не більше тридцятиденної давнини від дати подання документа.</w:t>
            </w:r>
          </w:p>
        </w:tc>
      </w:tr>
      <w:tr>
        <w:trPr>
          <w:trHeight w:val="1710"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sz w:val="20"/>
                <w:szCs w:val="20"/>
              </w:rPr>
              <w:t>3</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0"/>
                <w:szCs w:val="20"/>
              </w:rPr>
            </w:pPr>
            <w:bookmarkStart w:id="1" w:name="_heading=h.gjdgxs"/>
            <w:bookmarkEnd w:id="1"/>
            <w:r>
              <w:rPr>
                <w:rFonts w:eastAsia="Times New Roman" w:cs="Times New Roman" w:ascii="Times New Roman" w:hAnsi="Times New Roman"/>
                <w:b/>
                <w:color w:val="000000"/>
                <w:sz w:val="20"/>
                <w:szCs w:val="20"/>
              </w:rPr>
              <w:t>(пункт 12 частини 1 статті 17 Закону)</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rHeight w:val="862" w:hRule="atLeast"/>
        </w:trPr>
        <w:tc>
          <w:tcPr>
            <w:tcW w:w="58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4</w:t>
            </w:r>
          </w:p>
        </w:tc>
        <w:tc>
          <w:tcPr>
            <w:tcW w:w="443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0"/>
                <w:szCs w:val="20"/>
              </w:rPr>
              <w:t>—</w:t>
            </w:r>
            <w:r>
              <w:rPr>
                <w:rFonts w:eastAsia="Times New Roman" w:cs="Times New Roman" w:ascii="Times New Roman" w:hAnsi="Times New Roman"/>
                <w:color w:val="000000"/>
                <w:sz w:val="20"/>
                <w:szCs w:val="20"/>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Довідка в довільній формі</w:t>
            </w:r>
            <w:r>
              <w:rPr>
                <w:rFonts w:eastAsia="Times New Roman" w:cs="Times New Roman"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bookmarkStart w:id="2" w:name="_GoBack"/>
            <w:bookmarkEnd w:id="2"/>
          </w:p>
        </w:tc>
      </w:tr>
    </w:tbl>
    <w:p>
      <w:pPr>
        <w:pStyle w:val="Normal"/>
        <w:shd w:val="clear" w:color="auto" w:fill="FFFFFF"/>
        <w:spacing w:lineRule="auto" w:line="240" w:before="120" w:after="0"/>
        <w:jc w:val="both"/>
        <w:rPr>
          <w:rFonts w:ascii="Times New Roman" w:hAnsi="Times New Roman" w:eastAsia="Times New Roman" w:cs="Times New Roman"/>
          <w:sz w:val="20"/>
          <w:szCs w:val="20"/>
        </w:rPr>
      </w:pPr>
      <w:r>
        <w:rPr>
          <w:rFonts w:eastAsia="Times New Roman" w:cs="Times New Roman" w:ascii="Times New Roman" w:hAnsi="Times New Roman"/>
          <w:b/>
          <w:i/>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 / переможця процедури закупівлі підтвердження її відсутності. </w:t>
      </w:r>
    </w:p>
    <w:p>
      <w:pPr>
        <w:pStyle w:val="Normal"/>
        <w:shd w:val="clear" w:color="auto" w:fill="FFFFFF"/>
        <w:spacing w:lineRule="auto" w:line="240" w:before="0" w:after="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rPr>
        <w:t> </w:t>
      </w:r>
    </w:p>
    <w:p>
      <w:pPr>
        <w:pStyle w:val="Normal"/>
        <w:shd w:val="clear" w:color="auto" w:fill="FFFFFF"/>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sz w:val="20"/>
          <w:szCs w:val="20"/>
          <w:lang w:val="uk-UA"/>
        </w:rPr>
        <w:t>3</w:t>
      </w:r>
      <w:r>
        <w:rPr>
          <w:rFonts w:eastAsia="Times New Roman" w:cs="Times New Roman" w:ascii="Times New Roman" w:hAnsi="Times New Roman"/>
          <w:b/>
          <w:color w:val="000000"/>
          <w:sz w:val="20"/>
          <w:szCs w:val="20"/>
        </w:rPr>
        <w:t xml:space="preserve">. Інша інформація, встановлена відповідно до законодавства (для УЧАСНИКІВ </w:t>
      </w:r>
      <w:r>
        <w:rPr>
          <w:rFonts w:eastAsia="Times New Roman" w:cs="Times New Roman" w:ascii="Times New Roman" w:hAnsi="Times New Roman"/>
          <w:b/>
          <w:sz w:val="20"/>
          <w:szCs w:val="20"/>
        </w:rPr>
        <w:t>—</w:t>
      </w:r>
      <w:r>
        <w:rPr>
          <w:rFonts w:eastAsia="Times New Roman" w:cs="Times New Roman" w:ascii="Times New Roman" w:hAnsi="Times New Roman"/>
          <w:b/>
          <w:color w:val="000000"/>
          <w:sz w:val="20"/>
          <w:szCs w:val="20"/>
        </w:rPr>
        <w:t xml:space="preserve"> юридичних осіб, фізичних осіб та фізичних осіб</w:t>
      </w:r>
      <w:r>
        <w:rPr>
          <w:rFonts w:eastAsia="Times New Roman" w:cs="Times New Roman" w:ascii="Times New Roman" w:hAnsi="Times New Roman"/>
          <w:b/>
          <w:sz w:val="20"/>
          <w:szCs w:val="20"/>
        </w:rPr>
        <w:t xml:space="preserve"> — </w:t>
      </w:r>
      <w:r>
        <w:rPr>
          <w:rFonts w:eastAsia="Times New Roman" w:cs="Times New Roman" w:ascii="Times New Roman" w:hAnsi="Times New Roman"/>
          <w:b/>
          <w:color w:val="000000"/>
          <w:sz w:val="20"/>
          <w:szCs w:val="20"/>
        </w:rPr>
        <w:t>підприємців).</w:t>
      </w:r>
    </w:p>
    <w:tbl>
      <w:tblPr>
        <w:tblStyle w:val="afe"/>
        <w:tblW w:w="9619" w:type="dxa"/>
        <w:jc w:val="left"/>
        <w:tblInd w:w="-107" w:type="dxa"/>
        <w:tblLayout w:type="fixed"/>
        <w:tblCellMar>
          <w:top w:w="100" w:type="dxa"/>
          <w:left w:w="100" w:type="dxa"/>
          <w:bottom w:w="100" w:type="dxa"/>
          <w:right w:w="100" w:type="dxa"/>
        </w:tblCellMar>
        <w:tblLook w:firstRow="0" w:noVBand="1" w:lastRow="0" w:firstColumn="0" w:lastColumn="0" w:noHBand="0"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документ (один із), що підтверджує повноваження щодо підпису пропозиції: виписку з протоколу зборів засновників або протокол зборів засновників, наказ про призначення, довіреністю, дорученням або іншим документом, що підтверджує повноваження посадової особ.</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lang w:val="uk-UA"/>
              </w:rPr>
            </w:pPr>
            <w:r>
              <w:rPr>
                <w:rFonts w:eastAsia="Times New Roman" w:cs="Times New Roman" w:ascii="Times New Roman" w:hAnsi="Times New Roman"/>
                <w:color w:val="000000"/>
                <w:sz w:val="20"/>
                <w:szCs w:val="20"/>
              </w:rPr>
              <w:t>Ліцензія на постачання природного газу та/або Постанова НКРЕКП, згідно якої визначене рішення про видачу відповідної ліцензії</w:t>
            </w:r>
            <w:r>
              <w:rPr>
                <w:rFonts w:eastAsia="Times New Roman" w:cs="Times New Roman" w:ascii="Times New Roman" w:hAnsi="Times New Roman"/>
                <w:color w:val="000000"/>
                <w:sz w:val="20"/>
                <w:szCs w:val="20"/>
                <w:lang w:val="uk-UA"/>
              </w:rPr>
              <w:t>.</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Витяг</w:t>
            </w:r>
            <w:r>
              <w:rPr>
                <w:rFonts w:eastAsia="Times New Roman" w:cs="Times New Roman" w:ascii="Times New Roman" w:hAnsi="Times New Roman"/>
                <w:color w:val="000000"/>
                <w:sz w:val="20"/>
                <w:szCs w:val="20"/>
                <w:lang w:val="uk-UA"/>
              </w:rPr>
              <w:t>/Виписка</w:t>
            </w:r>
            <w:r>
              <w:rPr>
                <w:rFonts w:eastAsia="Times New Roman" w:cs="Times New Roman" w:ascii="Times New Roman" w:hAnsi="Times New Roman"/>
                <w:color w:val="000000"/>
                <w:sz w:val="20"/>
                <w:szCs w:val="20"/>
              </w:rPr>
              <w:t xml:space="preserve"> з Єдиного державного реєстру юридичних осіб, фізичних осіб-підприємців та громадських формувань.</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color w:val="000000"/>
                <w:sz w:val="20"/>
                <w:szCs w:val="20"/>
                <w:lang w:val="uk-UA"/>
              </w:rPr>
            </w:pPr>
            <w:r>
              <w:rPr>
                <w:rFonts w:eastAsia="Times New Roman" w:cs="Times New Roman" w:ascii="Times New Roman" w:hAnsi="Times New Roman"/>
                <w:b/>
                <w:color w:val="000000"/>
                <w:sz w:val="20"/>
                <w:szCs w:val="20"/>
                <w:lang w:val="uk-UA"/>
              </w:rPr>
              <w:t>4</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Витяг/свідоцтво з реєстру платників податку на додану вартість або платників єдиного податку;</w:t>
            </w:r>
          </w:p>
        </w:tc>
      </w:tr>
    </w:tbl>
    <w:p>
      <w:pPr>
        <w:pStyle w:val="Normal"/>
        <w:shd w:val="clear" w:color="auto" w:fill="FFFFFF"/>
        <w:spacing w:lineRule="auto" w:line="240" w:before="0" w:after="0"/>
        <w:rPr>
          <w:rFonts w:ascii="Times New Roman" w:hAnsi="Times New Roman" w:eastAsia="Times New Roman" w:cs="Times New Roman"/>
          <w:sz w:val="20"/>
          <w:szCs w:val="2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4"/>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ru-RU" w:eastAsia="uk-UA"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Hel6zsxEpo/l93MYsSt2B24L9xw==">AMUW2mWkDU98u9ObtfPIqjufhSu/k/jXMD7YHCqKA8DxAr+6YtOnRgmBlqq3YDwF9e2O/HOd4BuU3XJffXH+J+ZfJH26WUJ08Du50Jzk3mrEvyzfenBLh1nNo0LdkhUu07QlWdzj1zxT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LibreOffice/7.1.6.2$Windows_X86_64 LibreOffice_project/0e133318fcee89abacd6a7d077e292f1145735c3</Application>
  <AppVersion>15.0000</AppVersion>
  <Pages>2</Pages>
  <Words>1171</Words>
  <Characters>7852</Characters>
  <CharactersWithSpaces>8986</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ru-RU</dc:language>
  <cp:lastModifiedBy>Super</cp:lastModifiedBy>
  <dcterms:modified xsi:type="dcterms:W3CDTF">2022-11-21T13:23:00Z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