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9227FD" w:rsidRPr="00D82A12">
        <w:rPr>
          <w:b/>
          <w:bCs/>
          <w:lang w:val="uk-UA"/>
        </w:rPr>
        <w:t>03140000-4: Продукція тваринництва та супутня продукція</w:t>
      </w:r>
      <w:r w:rsidR="009227FD">
        <w:rPr>
          <w:b/>
          <w:bCs/>
          <w:lang w:val="uk-UA"/>
        </w:rPr>
        <w:t xml:space="preserve"> (</w:t>
      </w:r>
      <w:r w:rsidR="0010763E" w:rsidRPr="0010763E">
        <w:rPr>
          <w:b/>
          <w:bCs/>
          <w:lang w:val="uk-UA"/>
        </w:rPr>
        <w:t>Яйця курячі столові</w:t>
      </w:r>
      <w:r w:rsidR="009227FD">
        <w:rPr>
          <w:b/>
          <w:bCs/>
          <w:lang w:val="uk-UA"/>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A07E5F" w:rsidRPr="00865DEC" w:rsidRDefault="00A07E5F"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70" w:rsidRDefault="00047370" w:rsidP="00E8269D">
      <w:r>
        <w:separator/>
      </w:r>
    </w:p>
  </w:endnote>
  <w:endnote w:type="continuationSeparator" w:id="0">
    <w:p w:rsidR="00047370" w:rsidRDefault="00047370"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A2388D">
    <w:pPr>
      <w:pStyle w:val="ab"/>
      <w:jc w:val="right"/>
    </w:pPr>
    <w:fldSimple w:instr=" PAGE   \* MERGEFORMAT ">
      <w:r w:rsidR="0010763E">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70" w:rsidRDefault="00047370" w:rsidP="00E8269D">
      <w:r>
        <w:separator/>
      </w:r>
    </w:p>
  </w:footnote>
  <w:footnote w:type="continuationSeparator" w:id="0">
    <w:p w:rsidR="00047370" w:rsidRDefault="00047370"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47370"/>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0763E"/>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D7E1B"/>
    <w:rsid w:val="002F5173"/>
    <w:rsid w:val="003000C2"/>
    <w:rsid w:val="00304687"/>
    <w:rsid w:val="00311DA4"/>
    <w:rsid w:val="0031761E"/>
    <w:rsid w:val="00363079"/>
    <w:rsid w:val="003661DC"/>
    <w:rsid w:val="003662E8"/>
    <w:rsid w:val="00366AFB"/>
    <w:rsid w:val="0037529E"/>
    <w:rsid w:val="00375C54"/>
    <w:rsid w:val="0037701D"/>
    <w:rsid w:val="00380F12"/>
    <w:rsid w:val="0039291A"/>
    <w:rsid w:val="00394866"/>
    <w:rsid w:val="003B5E1A"/>
    <w:rsid w:val="003D03B2"/>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227FD"/>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07E5F"/>
    <w:rsid w:val="00A106B3"/>
    <w:rsid w:val="00A22DCE"/>
    <w:rsid w:val="00A2388D"/>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014F"/>
    <w:rsid w:val="00AE174E"/>
    <w:rsid w:val="00AE1A55"/>
    <w:rsid w:val="00AE3BD1"/>
    <w:rsid w:val="00AE4D90"/>
    <w:rsid w:val="00AF04D0"/>
    <w:rsid w:val="00B033E3"/>
    <w:rsid w:val="00B06855"/>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6270"/>
    <w:rsid w:val="00D70848"/>
    <w:rsid w:val="00D817AB"/>
    <w:rsid w:val="00D84637"/>
    <w:rsid w:val="00D851A4"/>
    <w:rsid w:val="00D878DD"/>
    <w:rsid w:val="00DA0B45"/>
    <w:rsid w:val="00DB30B4"/>
    <w:rsid w:val="00DD28D0"/>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0D10-0835-41B9-8C65-2247F68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20</cp:revision>
  <cp:lastPrinted>2017-01-06T08:42:00Z</cp:lastPrinted>
  <dcterms:created xsi:type="dcterms:W3CDTF">2020-05-28T10:17:00Z</dcterms:created>
  <dcterms:modified xsi:type="dcterms:W3CDTF">2024-01-19T10:44:00Z</dcterms:modified>
</cp:coreProperties>
</file>