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bookmarkStart w:id="0" w:name="_GoBack"/>
      <w:bookmarkEnd w:id="0"/>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CB6135" w:rsidP="00CB6135">
      <w:pPr>
        <w:pStyle w:val="a5"/>
        <w:widowControl w:val="0"/>
        <w:numPr>
          <w:ilvl w:val="0"/>
          <w:numId w:val="6"/>
        </w:numPr>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31198" w:rsidRPr="00331198" w:rsidTr="00996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 xml:space="preserve">№ </w:t>
            </w:r>
            <w:r w:rsidRPr="00331198">
              <w:rPr>
                <w:rFonts w:ascii="Times New Roman" w:hAnsi="Times New Roman" w:cs="Times New Roman"/>
                <w:b/>
                <w:sz w:val="24"/>
                <w:szCs w:val="20"/>
                <w:lang w:eastAsia="ru-RU"/>
              </w:rPr>
              <w:t>з</w:t>
            </w:r>
            <w:r w:rsidRPr="00331198">
              <w:rPr>
                <w:rFonts w:ascii="Times New Roman" w:hAnsi="Times New Roman" w:cs="Times New Roman"/>
                <w:b/>
                <w:color w:val="000000"/>
                <w:sz w:val="24"/>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47E3" w:rsidRDefault="00331198" w:rsidP="00331198">
            <w:pPr>
              <w:spacing w:before="240" w:after="0" w:line="240" w:lineRule="auto"/>
              <w:jc w:val="center"/>
              <w:rPr>
                <w:rFonts w:ascii="Times New Roman" w:hAnsi="Times New Roman" w:cs="Times New Roman"/>
                <w:b/>
                <w:color w:val="000000"/>
                <w:sz w:val="24"/>
                <w:szCs w:val="20"/>
                <w:lang w:eastAsia="ru-RU"/>
              </w:rPr>
            </w:pPr>
            <w:r w:rsidRPr="00331198">
              <w:rPr>
                <w:rFonts w:ascii="Times New Roman" w:hAnsi="Times New Roman" w:cs="Times New Roman"/>
                <w:b/>
                <w:color w:val="000000"/>
                <w:sz w:val="24"/>
                <w:szCs w:val="20"/>
                <w:lang w:eastAsia="ru-RU"/>
              </w:rPr>
              <w:t xml:space="preserve">Документи та </w:t>
            </w:r>
            <w:r w:rsidRPr="00331198">
              <w:rPr>
                <w:rFonts w:ascii="Times New Roman" w:hAnsi="Times New Roman" w:cs="Times New Roman"/>
                <w:b/>
                <w:sz w:val="24"/>
                <w:szCs w:val="20"/>
                <w:lang w:eastAsia="ru-RU"/>
              </w:rPr>
              <w:t>інформація, </w:t>
            </w:r>
            <w:r w:rsidRPr="00331198">
              <w:rPr>
                <w:rFonts w:ascii="Times New Roman" w:hAnsi="Times New Roman" w:cs="Times New Roman"/>
                <w:b/>
                <w:color w:val="000000"/>
                <w:sz w:val="24"/>
                <w:szCs w:val="20"/>
                <w:lang w:eastAsia="ru-RU"/>
              </w:rPr>
              <w:t xml:space="preserve">які підтверджують відповідність Учасника </w:t>
            </w:r>
          </w:p>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кваліфікаційним критеріям**</w:t>
            </w:r>
          </w:p>
        </w:tc>
      </w:tr>
      <w:tr w:rsidR="00331198" w:rsidRPr="00331198" w:rsidTr="009963C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обладнання, матеріально-технічної бази та технологій</w:t>
            </w:r>
          </w:p>
          <w:p w:rsidR="00331198" w:rsidRPr="00331198" w:rsidRDefault="00331198" w:rsidP="00331198">
            <w:pPr>
              <w:spacing w:after="0" w:line="240" w:lineRule="auto"/>
              <w:jc w:val="both"/>
              <w:rPr>
                <w:rFonts w:ascii="Times New Roman" w:hAnsi="Times New Roman" w:cs="Times New Roman"/>
                <w:sz w:val="24"/>
                <w:szCs w:val="20"/>
                <w:lang w:eastAsia="ru-RU"/>
              </w:rPr>
            </w:pPr>
          </w:p>
          <w:p w:rsidR="00331198" w:rsidRPr="00331198" w:rsidRDefault="00331198" w:rsidP="00331198">
            <w:pPr>
              <w:spacing w:after="0" w:line="240" w:lineRule="auto"/>
              <w:rPr>
                <w:rFonts w:ascii="Times New Roman" w:hAnsi="Times New Roman" w:cs="Times New Roman"/>
                <w:sz w:val="24"/>
                <w:szCs w:val="20"/>
                <w:lang w:eastAsia="ru-RU"/>
              </w:rPr>
            </w:pPr>
          </w:p>
          <w:p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hd w:val="clear" w:color="auto" w:fill="FFFFFF"/>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1.1. Довідка в довільній формі про наявність обладнання, матеріально-технічної бази та технологій, необхідних для надання товарів з урахуванням, технічних вимог, визначених в Додатку 2, із зазначенням найменування, кількості та правової підстави володіння / користування.</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31198" w:rsidRPr="00331198" w:rsidTr="009963C8">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працівників відповідної кваліфікації, які мають необхідні знання та досвід</w:t>
            </w:r>
          </w:p>
          <w:p w:rsidR="00331198" w:rsidRPr="00331198" w:rsidRDefault="00331198" w:rsidP="00331198">
            <w:pPr>
              <w:spacing w:after="0" w:line="240" w:lineRule="auto"/>
              <w:jc w:val="both"/>
              <w:rPr>
                <w:rFonts w:ascii="Times New Roman" w:hAnsi="Times New Roman" w:cs="Times New Roman"/>
                <w:sz w:val="24"/>
                <w:szCs w:val="20"/>
                <w:lang w:eastAsia="ru-RU"/>
              </w:rPr>
            </w:pPr>
          </w:p>
          <w:p w:rsidR="00331198" w:rsidRPr="00331198" w:rsidRDefault="00331198" w:rsidP="00331198">
            <w:pPr>
              <w:spacing w:after="0" w:line="240" w:lineRule="auto"/>
              <w:rPr>
                <w:rFonts w:ascii="Times New Roman" w:hAnsi="Times New Roman" w:cs="Times New Roman"/>
                <w:sz w:val="24"/>
                <w:szCs w:val="20"/>
                <w:lang w:eastAsia="ru-RU"/>
              </w:rPr>
            </w:pPr>
          </w:p>
          <w:p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2.1. Довідка про наявність працівників відповідної кваліфікації, які мають необхідні знання та досвід, за формою Таблиці 1.</w:t>
            </w:r>
          </w:p>
          <w:p w:rsidR="00331198" w:rsidRPr="00576A04" w:rsidRDefault="00331198" w:rsidP="00331198">
            <w:pPr>
              <w:spacing w:after="0" w:line="240" w:lineRule="auto"/>
              <w:jc w:val="right"/>
              <w:rPr>
                <w:rFonts w:ascii="Times New Roman" w:hAnsi="Times New Roman" w:cs="Times New Roman"/>
                <w:sz w:val="24"/>
                <w:szCs w:val="20"/>
                <w:lang w:eastAsia="ru-RU"/>
              </w:rPr>
            </w:pPr>
            <w:r w:rsidRPr="00576A04">
              <w:rPr>
                <w:rFonts w:ascii="Times New Roman" w:hAnsi="Times New Roman" w:cs="Times New Roman"/>
                <w:sz w:val="24"/>
                <w:szCs w:val="20"/>
                <w:lang w:eastAsia="ru-RU"/>
              </w:rPr>
              <w:t>Таблиця 1  </w:t>
            </w:r>
          </w:p>
          <w:tbl>
            <w:tblPr>
              <w:tblW w:w="6469" w:type="dxa"/>
              <w:tblLayout w:type="fixed"/>
              <w:tblLook w:val="0400" w:firstRow="0" w:lastRow="0" w:firstColumn="0" w:lastColumn="0" w:noHBand="0" w:noVBand="1"/>
            </w:tblPr>
            <w:tblGrid>
              <w:gridCol w:w="1942"/>
              <w:gridCol w:w="1984"/>
              <w:gridCol w:w="2543"/>
            </w:tblGrid>
            <w:tr w:rsidR="00576A04" w:rsidRPr="00576A04" w:rsidTr="009963C8">
              <w:trPr>
                <w:trHeight w:val="562"/>
              </w:trPr>
              <w:tc>
                <w:tcPr>
                  <w:tcW w:w="6469" w:type="dxa"/>
                  <w:gridSpan w:val="3"/>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jc w:val="center"/>
                    <w:rPr>
                      <w:rFonts w:ascii="Times New Roman" w:hAnsi="Times New Roman" w:cs="Times New Roman"/>
                      <w:sz w:val="24"/>
                      <w:szCs w:val="20"/>
                      <w:lang w:eastAsia="ru-RU"/>
                    </w:rPr>
                  </w:pPr>
                  <w:r w:rsidRPr="00576A04">
                    <w:rPr>
                      <w:rFonts w:ascii="Times New Roman" w:hAnsi="Times New Roman" w:cs="Times New Roman"/>
                      <w:b/>
                      <w:sz w:val="24"/>
                      <w:szCs w:val="20"/>
                      <w:lang w:eastAsia="ru-RU"/>
                    </w:rPr>
                    <w:t>Довідка про наявність працівників відповідної кваліфікації, які мають необхідні знання та досвід</w:t>
                  </w:r>
                </w:p>
              </w:tc>
            </w:tr>
            <w:tr w:rsidR="00576A04" w:rsidRPr="00576A04" w:rsidTr="009963C8">
              <w:trPr>
                <w:trHeight w:val="1383"/>
              </w:trPr>
              <w:tc>
                <w:tcPr>
                  <w:tcW w:w="1942"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ПІБ</w:t>
                  </w:r>
                </w:p>
              </w:tc>
              <w:tc>
                <w:tcPr>
                  <w:tcW w:w="1984"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Кваліфікація/</w:t>
                  </w:r>
                </w:p>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посада</w:t>
                  </w:r>
                </w:p>
              </w:tc>
              <w:tc>
                <w:tcPr>
                  <w:tcW w:w="2543"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Загальний стаж роботи</w:t>
                  </w:r>
                </w:p>
              </w:tc>
            </w:tr>
            <w:tr w:rsidR="00576A04" w:rsidRPr="00576A04" w:rsidTr="009963C8">
              <w:trPr>
                <w:trHeight w:val="289"/>
              </w:trPr>
              <w:tc>
                <w:tcPr>
                  <w:tcW w:w="1942"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r>
          </w:tbl>
          <w:p w:rsidR="00331198" w:rsidRPr="00576A04" w:rsidRDefault="00331198" w:rsidP="00331198">
            <w:pPr>
              <w:spacing w:after="0" w:line="240" w:lineRule="auto"/>
              <w:rPr>
                <w:rFonts w:ascii="Times New Roman" w:hAnsi="Times New Roman" w:cs="Times New Roman"/>
                <w:sz w:val="24"/>
                <w:szCs w:val="20"/>
                <w:lang w:eastAsia="ru-RU"/>
              </w:rPr>
            </w:pP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2.2. До довідки додати на кожного працівника, зазначеного в довідці, документ який засвідчує можливість використання праці такого працівника учасником наприклад: наказ про прийняття на роботу/ трудовий договір / договір про надання послуг /копія трудової книжки (перша сторінка, що містить інформацію про ПІБ працівника, та сторінка, що містить запис про прийняття на роботу) / інший документ).</w:t>
            </w:r>
            <w:r w:rsidRPr="00576A04">
              <w:rPr>
                <w:rFonts w:ascii="Times New Roman" w:hAnsi="Times New Roman" w:cs="Times New Roman"/>
                <w:sz w:val="24"/>
                <w:szCs w:val="20"/>
                <w:highlight w:val="white"/>
                <w:lang w:eastAsia="ru-RU"/>
              </w:rPr>
              <w:t xml:space="preserve"> </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 xml:space="preserve">2.3. У разі виконання робіт, що потребують спеціальних знань </w:t>
            </w:r>
            <w:r w:rsidRPr="00576A04">
              <w:rPr>
                <w:rFonts w:ascii="Times New Roman" w:hAnsi="Times New Roman" w:cs="Times New Roman"/>
                <w:sz w:val="24"/>
                <w:szCs w:val="20"/>
                <w:lang w:eastAsia="ru-RU"/>
              </w:rPr>
              <w:lastRenderedPageBreak/>
              <w:t>або спеціального дозволу надати копії документів, які підтверджують можливість виконання працівниками таких робіт.</w:t>
            </w:r>
          </w:p>
        </w:tc>
      </w:tr>
      <w:tr w:rsidR="00331198" w:rsidRPr="00331198" w:rsidTr="00996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rsidR="0012503C"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576A04">
              <w:rPr>
                <w:rFonts w:asciiTheme="minorHAnsi" w:eastAsiaTheme="minorHAnsi" w:hAnsiTheme="minorHAnsi" w:cstheme="minorBidi"/>
                <w:lang w:eastAsia="en-US"/>
              </w:rPr>
              <w:t xml:space="preserve"> </w:t>
            </w:r>
            <w:r w:rsidRPr="00576A04">
              <w:rPr>
                <w:rFonts w:ascii="Times New Roman" w:hAnsi="Times New Roman" w:cs="Times New Roman"/>
                <w:sz w:val="24"/>
                <w:szCs w:val="20"/>
                <w:lang w:eastAsia="ru-RU"/>
              </w:rPr>
              <w:t xml:space="preserve">Аналогічним вважається договір предметом закупівлі якого є </w:t>
            </w:r>
            <w:r w:rsidR="0012503C">
              <w:rPr>
                <w:rFonts w:ascii="Times New Roman" w:hAnsi="Times New Roman" w:cs="Times New Roman"/>
                <w:sz w:val="24"/>
                <w:szCs w:val="20"/>
                <w:lang w:eastAsia="ru-RU"/>
              </w:rPr>
              <w:t>послуги</w:t>
            </w:r>
            <w:r w:rsidRPr="00576A04">
              <w:rPr>
                <w:rFonts w:ascii="Times New Roman" w:hAnsi="Times New Roman" w:cs="Times New Roman"/>
                <w:sz w:val="24"/>
                <w:szCs w:val="20"/>
                <w:lang w:eastAsia="ru-RU"/>
              </w:rPr>
              <w:t>, як</w:t>
            </w:r>
            <w:r w:rsidR="0012503C">
              <w:rPr>
                <w:rFonts w:ascii="Times New Roman" w:hAnsi="Times New Roman" w:cs="Times New Roman"/>
                <w:sz w:val="24"/>
                <w:szCs w:val="20"/>
                <w:lang w:eastAsia="ru-RU"/>
              </w:rPr>
              <w:t>і</w:t>
            </w:r>
            <w:r w:rsidRPr="00576A04">
              <w:rPr>
                <w:rFonts w:ascii="Times New Roman" w:hAnsi="Times New Roman" w:cs="Times New Roman"/>
                <w:sz w:val="24"/>
                <w:szCs w:val="20"/>
                <w:lang w:eastAsia="ru-RU"/>
              </w:rPr>
              <w:t xml:space="preserve"> відповіда</w:t>
            </w:r>
            <w:r w:rsidR="0012503C">
              <w:rPr>
                <w:rFonts w:ascii="Times New Roman" w:hAnsi="Times New Roman" w:cs="Times New Roman"/>
                <w:sz w:val="24"/>
                <w:szCs w:val="20"/>
                <w:lang w:eastAsia="ru-RU"/>
              </w:rPr>
              <w:t>ють</w:t>
            </w:r>
            <w:r w:rsidRPr="00576A04">
              <w:rPr>
                <w:rFonts w:ascii="Times New Roman" w:hAnsi="Times New Roman" w:cs="Times New Roman"/>
                <w:sz w:val="24"/>
                <w:szCs w:val="20"/>
                <w:lang w:eastAsia="ru-RU"/>
              </w:rPr>
              <w:t xml:space="preserve"> коду </w:t>
            </w:r>
            <w:r w:rsidR="0012503C" w:rsidRPr="0012503C">
              <w:rPr>
                <w:rFonts w:ascii="Times New Roman" w:hAnsi="Times New Roman" w:cs="Times New Roman"/>
                <w:sz w:val="24"/>
                <w:szCs w:val="20"/>
                <w:lang w:eastAsia="ru-RU"/>
              </w:rPr>
              <w:t>45520000-8 - Прокат обладнання з оператором для виконання земляних робіт</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3.1.2. не менше 1 копії договору, зазначеного в довідці в повному обсязі, із специфікацією, всіма додатками, накладними тощо.</w:t>
            </w:r>
          </w:p>
          <w:p w:rsidR="00331198" w:rsidRPr="00576A04" w:rsidRDefault="00331198" w:rsidP="00331198">
            <w:pPr>
              <w:spacing w:after="0" w:line="240" w:lineRule="auto"/>
              <w:jc w:val="both"/>
              <w:rPr>
                <w:rFonts w:ascii="Times New Roman" w:hAnsi="Times New Roman" w:cs="Times New Roman"/>
                <w:sz w:val="24"/>
                <w:szCs w:val="20"/>
                <w:highlight w:val="white"/>
                <w:lang w:eastAsia="ru-RU"/>
              </w:rPr>
            </w:pPr>
            <w:r w:rsidRPr="00576A04">
              <w:rPr>
                <w:rFonts w:ascii="Times New Roman" w:hAnsi="Times New Roman" w:cs="Times New Roman"/>
                <w:sz w:val="24"/>
                <w:szCs w:val="20"/>
                <w:lang w:eastAsia="ru-RU"/>
              </w:rPr>
              <w:t>3.1.3. копії/ю документів/а на підтвердження виконання не менше ніж одного договору, заз</w:t>
            </w:r>
            <w:r w:rsidRPr="00576A04">
              <w:rPr>
                <w:rFonts w:ascii="Times New Roman" w:hAnsi="Times New Roman" w:cs="Times New Roman"/>
                <w:sz w:val="24"/>
                <w:szCs w:val="20"/>
                <w:highlight w:val="white"/>
                <w:lang w:eastAsia="ru-RU"/>
              </w:rPr>
              <w:t>наченого в наданій Учасником довідці. </w:t>
            </w:r>
          </w:p>
          <w:p w:rsidR="00331198" w:rsidRPr="00576A04" w:rsidRDefault="00331198" w:rsidP="00331198">
            <w:pPr>
              <w:spacing w:after="0" w:line="240" w:lineRule="auto"/>
              <w:jc w:val="both"/>
              <w:rPr>
                <w:rFonts w:ascii="Times New Roman" w:hAnsi="Times New Roman" w:cs="Times New Roman"/>
                <w:sz w:val="24"/>
                <w:szCs w:val="20"/>
                <w:highlight w:val="white"/>
                <w:lang w:eastAsia="ru-RU"/>
              </w:rPr>
            </w:pPr>
            <w:r w:rsidRPr="00576A04">
              <w:rPr>
                <w:rFonts w:ascii="Times New Roman" w:hAnsi="Times New Roman" w:cs="Times New Roman"/>
                <w:sz w:val="24"/>
                <w:szCs w:val="20"/>
                <w:lang w:eastAsia="ru-RU"/>
              </w:rPr>
              <w:t>3.1.4.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i/>
                <w:sz w:val="24"/>
                <w:szCs w:val="20"/>
                <w:lang w:eastAsia="ru-RU"/>
              </w:rPr>
              <w:t>частково виконаний  договір, дія якого не закінчена.</w:t>
            </w:r>
          </w:p>
        </w:tc>
      </w:tr>
    </w:tbl>
    <w:p w:rsidR="00CB6135" w:rsidRPr="007B26F0" w:rsidRDefault="00CB6135" w:rsidP="00D017E2">
      <w:pPr>
        <w:widowControl w:val="0"/>
        <w:tabs>
          <w:tab w:val="left" w:pos="1080"/>
        </w:tabs>
        <w:spacing w:after="0" w:line="240" w:lineRule="auto"/>
        <w:ind w:left="360"/>
        <w:jc w:val="both"/>
        <w:rPr>
          <w:rFonts w:ascii="Times New Roman" w:hAnsi="Times New Roman" w:cs="Times New Roman"/>
          <w:sz w:val="24"/>
          <w:szCs w:val="24"/>
          <w:lang w:eastAsia="ru-RU"/>
        </w:rPr>
      </w:pPr>
    </w:p>
    <w:p w:rsidR="00135067" w:rsidRPr="0097536D" w:rsidRDefault="00135067" w:rsidP="00135067">
      <w:pPr>
        <w:shd w:val="clear" w:color="auto" w:fill="FFFFFF"/>
        <w:spacing w:after="0" w:line="240" w:lineRule="auto"/>
        <w:jc w:val="both"/>
        <w:rPr>
          <w:rFonts w:ascii="Times New Roman" w:hAnsi="Times New Roman" w:cs="Times New Roman"/>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2.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w:t>
      </w:r>
      <w:r w:rsidRPr="000C47E3">
        <w:rPr>
          <w:rFonts w:ascii="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7"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8"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9"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10"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1"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2"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44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44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44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3"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4" w:tgtFrame="_blank" w:history="1">
              <w:r w:rsidRPr="000C47E3">
                <w:rPr>
                  <w:rFonts w:ascii="Times New Roman" w:hAnsi="Times New Roman" w:cs="Times New Roman"/>
                  <w:color w:val="0000FF"/>
                  <w:sz w:val="24"/>
                  <w:szCs w:val="24"/>
                  <w:u w:val="single"/>
                </w:rPr>
                <w:t>vytiah.mvs.gov.ua</w:t>
              </w:r>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44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44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44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5"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063FD"/>
    <w:rsid w:val="000C47E3"/>
    <w:rsid w:val="0012503C"/>
    <w:rsid w:val="00135067"/>
    <w:rsid w:val="00263051"/>
    <w:rsid w:val="00331198"/>
    <w:rsid w:val="00576A04"/>
    <w:rsid w:val="00641F6A"/>
    <w:rsid w:val="007B26F0"/>
    <w:rsid w:val="007D7114"/>
    <w:rsid w:val="0089713D"/>
    <w:rsid w:val="009521E6"/>
    <w:rsid w:val="00952D20"/>
    <w:rsid w:val="009D3BA4"/>
    <w:rsid w:val="00A7739B"/>
    <w:rsid w:val="00B3055F"/>
    <w:rsid w:val="00CB6135"/>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s://corruptinfo.nazk.gov.ua/reference/getpersonalreference/individual%20" TargetMode="External"/><Relationship Id="rId3" Type="http://schemas.microsoft.com/office/2007/relationships/stylesWithEffects" Target="stylesWithEffects.xml"/><Relationship Id="rId7" Type="http://schemas.openxmlformats.org/officeDocument/2006/relationships/hyperlink" Target="https://zakon.rada.gov.ua/laws/show/1178-2022-&#1087;/ed20230519" TargetMode="External"/><Relationship Id="rId12" Type="http://schemas.openxmlformats.org/officeDocument/2006/relationships/hyperlink" Target="http://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10234</Words>
  <Characters>5834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2023-03-01T10:22:00Z</cp:lastPrinted>
  <dcterms:created xsi:type="dcterms:W3CDTF">2023-09-14T07:50:00Z</dcterms:created>
  <dcterms:modified xsi:type="dcterms:W3CDTF">2023-09-14T07:50:00Z</dcterms:modified>
</cp:coreProperties>
</file>