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FA774A" w:rsidRDefault="00B97C5A" w:rsidP="00EE33E3">
      <w:pPr>
        <w:jc w:val="right"/>
        <w:rPr>
          <w:i/>
          <w:sz w:val="24"/>
          <w:szCs w:val="24"/>
        </w:rPr>
      </w:pPr>
      <w:r w:rsidRPr="00FA774A">
        <w:rPr>
          <w:i/>
          <w:sz w:val="24"/>
          <w:szCs w:val="24"/>
        </w:rPr>
        <w:t>Додаток 4</w:t>
      </w:r>
    </w:p>
    <w:p w14:paraId="3A546A38" w14:textId="77777777" w:rsidR="00B97C5A" w:rsidRPr="00FA774A" w:rsidRDefault="00B97C5A" w:rsidP="00EE33E3">
      <w:pPr>
        <w:jc w:val="right"/>
        <w:rPr>
          <w:i/>
          <w:sz w:val="24"/>
          <w:szCs w:val="24"/>
        </w:rPr>
      </w:pPr>
      <w:r w:rsidRPr="00FA774A">
        <w:rPr>
          <w:i/>
          <w:sz w:val="24"/>
          <w:szCs w:val="24"/>
        </w:rPr>
        <w:t>до тендерної документації</w:t>
      </w:r>
    </w:p>
    <w:p w14:paraId="537BAF53" w14:textId="77777777" w:rsidR="00B97C5A" w:rsidRPr="00FA774A" w:rsidRDefault="00B97C5A" w:rsidP="00EE33E3">
      <w:pPr>
        <w:jc w:val="both"/>
        <w:rPr>
          <w:i/>
          <w:sz w:val="24"/>
          <w:szCs w:val="24"/>
        </w:rPr>
      </w:pPr>
    </w:p>
    <w:p w14:paraId="4B01D9D8" w14:textId="692D1855" w:rsidR="00B97C5A" w:rsidRPr="00FA774A" w:rsidRDefault="00B97C5A" w:rsidP="00AF32F3">
      <w:pPr>
        <w:pStyle w:val="af8"/>
        <w:numPr>
          <w:ilvl w:val="1"/>
          <w:numId w:val="6"/>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5A6736E5" w14:textId="7C0A1430" w:rsidR="00B97C5A" w:rsidRPr="00FA774A" w:rsidRDefault="00B97C5A" w:rsidP="00EE33E3">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FA774A">
        <w:rPr>
          <w:sz w:val="24"/>
          <w:szCs w:val="24"/>
        </w:rPr>
        <w:t>:</w:t>
      </w:r>
    </w:p>
    <w:p w14:paraId="44B1D40C" w14:textId="77777777" w:rsidR="00B97C5A" w:rsidRPr="00FA774A" w:rsidRDefault="00B97C5A" w:rsidP="00EE33E3">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044"/>
      </w:tblGrid>
      <w:tr w:rsidR="00892E46" w:rsidRPr="00FA774A" w14:paraId="091E7691" w14:textId="77777777" w:rsidTr="00452F33">
        <w:tc>
          <w:tcPr>
            <w:tcW w:w="1725" w:type="pct"/>
          </w:tcPr>
          <w:p w14:paraId="75209690" w14:textId="77777777" w:rsidR="00B97C5A" w:rsidRPr="00FA774A" w:rsidRDefault="00B97C5A" w:rsidP="00EE33E3">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7E3D1A14" w14:textId="77777777" w:rsidR="00B97C5A" w:rsidRPr="00FA774A" w:rsidRDefault="00B97C5A" w:rsidP="00EE33E3">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880BBE" w:rsidRPr="00FA774A" w14:paraId="40DEEAC6" w14:textId="77777777" w:rsidTr="00D10EE8">
        <w:trPr>
          <w:trHeight w:val="1147"/>
        </w:trPr>
        <w:tc>
          <w:tcPr>
            <w:tcW w:w="1725" w:type="pct"/>
          </w:tcPr>
          <w:p w14:paraId="70B7518B" w14:textId="530C5E43" w:rsidR="00880BBE" w:rsidRPr="00FA774A" w:rsidRDefault="00880BBE" w:rsidP="00880BBE">
            <w:pPr>
              <w:tabs>
                <w:tab w:val="left" w:pos="900"/>
                <w:tab w:val="left" w:pos="2160"/>
              </w:tabs>
              <w:jc w:val="both"/>
              <w:rPr>
                <w:sz w:val="24"/>
                <w:szCs w:val="24"/>
              </w:rPr>
            </w:pPr>
            <w:r w:rsidRPr="00806E84">
              <w:rPr>
                <w:sz w:val="24"/>
                <w:szCs w:val="24"/>
                <w:lang w:eastAsia="en-US"/>
              </w:rPr>
              <w:t>Наявність працівників відповідної кваліфікації, які мають необхідні знання та досвід</w:t>
            </w:r>
          </w:p>
        </w:tc>
        <w:tc>
          <w:tcPr>
            <w:tcW w:w="3275" w:type="pct"/>
          </w:tcPr>
          <w:p w14:paraId="4F92014E" w14:textId="77777777" w:rsidR="00880BBE" w:rsidRPr="00806E84" w:rsidRDefault="00880BBE" w:rsidP="00880BBE">
            <w:pPr>
              <w:ind w:right="57"/>
              <w:jc w:val="both"/>
              <w:rPr>
                <w:sz w:val="24"/>
                <w:szCs w:val="24"/>
                <w:lang w:eastAsia="en-US"/>
              </w:rPr>
            </w:pPr>
            <w:r w:rsidRPr="00806E84">
              <w:rPr>
                <w:sz w:val="24"/>
                <w:szCs w:val="24"/>
                <w:lang w:eastAsia="en-US"/>
              </w:rPr>
              <w:t xml:space="preserve">1. Довідка про  наявність працівників відповідної кваліфікації, які мають необхідні знання та досвід, складена у довільній формі. </w:t>
            </w:r>
          </w:p>
          <w:p w14:paraId="2F48F689" w14:textId="77777777" w:rsidR="00880BBE" w:rsidRPr="00806E84" w:rsidRDefault="00880BBE" w:rsidP="00880BBE">
            <w:pPr>
              <w:ind w:right="57"/>
              <w:jc w:val="both"/>
              <w:rPr>
                <w:sz w:val="24"/>
                <w:szCs w:val="24"/>
                <w:lang w:eastAsia="en-US"/>
              </w:rPr>
            </w:pPr>
            <w:r w:rsidRPr="00806E84">
              <w:rPr>
                <w:sz w:val="24"/>
                <w:szCs w:val="24"/>
                <w:lang w:eastAsia="en-US"/>
              </w:rPr>
              <w:t xml:space="preserve">2. Завірені Учасником копії </w:t>
            </w:r>
            <w:proofErr w:type="spellStart"/>
            <w:r w:rsidRPr="00806E84">
              <w:rPr>
                <w:sz w:val="24"/>
                <w:szCs w:val="24"/>
                <w:lang w:eastAsia="en-US"/>
              </w:rPr>
              <w:t>свідоцтв</w:t>
            </w:r>
            <w:proofErr w:type="spellEnd"/>
            <w:r w:rsidRPr="00806E84">
              <w:rPr>
                <w:sz w:val="24"/>
                <w:szCs w:val="24"/>
                <w:lang w:eastAsia="en-US"/>
              </w:rPr>
              <w:t xml:space="preserve"> державного зразку з додатками про присвоєння (підвищення) робітничої кваліфікації «охоронник» не нижче ІІІ розряду працівників, яких учасник планує залучати до виконання умов договору (не менше 4 осіб).</w:t>
            </w:r>
          </w:p>
          <w:p w14:paraId="1D26C083" w14:textId="77777777" w:rsidR="00880BBE" w:rsidRPr="00806E84" w:rsidRDefault="00880BBE" w:rsidP="00880BBE">
            <w:pPr>
              <w:ind w:right="57"/>
              <w:jc w:val="both"/>
              <w:rPr>
                <w:sz w:val="24"/>
                <w:szCs w:val="24"/>
                <w:lang w:eastAsia="en-US"/>
              </w:rPr>
            </w:pPr>
            <w:r w:rsidRPr="00806E84">
              <w:rPr>
                <w:sz w:val="24"/>
                <w:szCs w:val="24"/>
                <w:lang w:eastAsia="en-US"/>
              </w:rPr>
              <w:t>3. Учасник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цілодобовий диспетчерський центр координації дій працівників охорони під час нештатних ситуацій.</w:t>
            </w:r>
          </w:p>
          <w:p w14:paraId="72B413CA" w14:textId="77777777" w:rsidR="00880BBE" w:rsidRPr="00806E84" w:rsidRDefault="00880BBE" w:rsidP="00880BBE">
            <w:pPr>
              <w:ind w:right="57"/>
              <w:jc w:val="both"/>
              <w:rPr>
                <w:sz w:val="24"/>
                <w:szCs w:val="24"/>
                <w:lang w:eastAsia="en-US"/>
              </w:rPr>
            </w:pPr>
            <w:r w:rsidRPr="00806E84">
              <w:rPr>
                <w:sz w:val="24"/>
                <w:szCs w:val="24"/>
                <w:lang w:eastAsia="en-US"/>
              </w:rPr>
              <w:t>Для підтвердження надати в складі пропозиції:</w:t>
            </w:r>
          </w:p>
          <w:p w14:paraId="0168210D" w14:textId="77777777" w:rsidR="00880BBE" w:rsidRPr="00806E84" w:rsidRDefault="00880BBE" w:rsidP="00880BBE">
            <w:pPr>
              <w:ind w:right="57"/>
              <w:jc w:val="both"/>
              <w:rPr>
                <w:sz w:val="24"/>
                <w:szCs w:val="24"/>
                <w:lang w:eastAsia="en-US"/>
              </w:rPr>
            </w:pPr>
            <w:r w:rsidRPr="00806E84">
              <w:rPr>
                <w:sz w:val="24"/>
                <w:szCs w:val="24"/>
                <w:lang w:eastAsia="en-US"/>
              </w:rPr>
              <w:t>- список не менше 4 (чотирьох) висококваліфікованих охоронників;</w:t>
            </w:r>
          </w:p>
          <w:p w14:paraId="12C89C29" w14:textId="77777777" w:rsidR="00880BBE" w:rsidRPr="00806E84" w:rsidRDefault="00880BBE" w:rsidP="00880BBE">
            <w:pPr>
              <w:ind w:right="57"/>
              <w:jc w:val="both"/>
              <w:rPr>
                <w:sz w:val="24"/>
                <w:szCs w:val="24"/>
                <w:lang w:eastAsia="en-US"/>
              </w:rPr>
            </w:pPr>
            <w:r w:rsidRPr="00806E84">
              <w:rPr>
                <w:sz w:val="24"/>
                <w:szCs w:val="24"/>
                <w:lang w:eastAsia="en-US"/>
              </w:rPr>
              <w:t>- повідомлення податкових органів про прийняття зазначених працівників (охоронників) на роботу з відповідною відміткою про отримання або квитанцією № 2;</w:t>
            </w:r>
          </w:p>
          <w:p w14:paraId="351B795C" w14:textId="77777777" w:rsidR="00880BBE" w:rsidRPr="00806E84" w:rsidRDefault="00880BBE" w:rsidP="00880BBE">
            <w:pPr>
              <w:ind w:right="57"/>
              <w:jc w:val="both"/>
              <w:rPr>
                <w:sz w:val="24"/>
                <w:szCs w:val="24"/>
                <w:lang w:eastAsia="en-US"/>
              </w:rPr>
            </w:pPr>
            <w:r w:rsidRPr="00806E84">
              <w:rPr>
                <w:sz w:val="24"/>
                <w:szCs w:val="24"/>
                <w:lang w:eastAsia="en-US"/>
              </w:rPr>
              <w:t xml:space="preserve">- копії </w:t>
            </w:r>
            <w:proofErr w:type="spellStart"/>
            <w:r w:rsidRPr="00806E84">
              <w:rPr>
                <w:sz w:val="24"/>
                <w:szCs w:val="24"/>
                <w:lang w:eastAsia="en-US"/>
              </w:rPr>
              <w:t>свідоцтв</w:t>
            </w:r>
            <w:proofErr w:type="spellEnd"/>
            <w:r w:rsidRPr="00806E84">
              <w:rPr>
                <w:sz w:val="24"/>
                <w:szCs w:val="24"/>
                <w:lang w:eastAsia="en-US"/>
              </w:rPr>
              <w:t xml:space="preserve"> про присвоєння робітничої кваліфікації за професією «охоронник» не нижче IV кваліфікаційного розряду (працівників згідно з наданим списком);</w:t>
            </w:r>
          </w:p>
          <w:p w14:paraId="7A0B80B1" w14:textId="77777777" w:rsidR="00880BBE" w:rsidRPr="00806E84" w:rsidRDefault="00880BBE" w:rsidP="00880BBE">
            <w:pPr>
              <w:ind w:right="57"/>
              <w:jc w:val="both"/>
              <w:rPr>
                <w:sz w:val="24"/>
                <w:szCs w:val="24"/>
                <w:lang w:eastAsia="en-US"/>
              </w:rPr>
            </w:pPr>
            <w:r w:rsidRPr="00806E84">
              <w:rPr>
                <w:sz w:val="24"/>
                <w:szCs w:val="24"/>
                <w:lang w:eastAsia="en-US"/>
              </w:rPr>
              <w:t>- дозволи, видані органами Національної поліції України працівникам (охоронникам згідно з наданим списком), на право зберігання та носіння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14:paraId="43C03C87" w14:textId="26550CB0" w:rsidR="00880BBE" w:rsidRPr="00FA774A" w:rsidRDefault="00880BBE" w:rsidP="00880BBE">
            <w:pPr>
              <w:snapToGrid w:val="0"/>
              <w:jc w:val="both"/>
              <w:rPr>
                <w:sz w:val="24"/>
                <w:szCs w:val="24"/>
              </w:rPr>
            </w:pPr>
            <w:r w:rsidRPr="00806E84">
              <w:rPr>
                <w:sz w:val="24"/>
                <w:szCs w:val="24"/>
                <w:lang w:eastAsia="en-US"/>
              </w:rPr>
              <w:t>- дозвіл, виданий суб’єкту охоронної діяльності органами Національної поліції України,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tc>
      </w:tr>
      <w:tr w:rsidR="00880BBE" w:rsidRPr="00FA774A" w14:paraId="292E9DE2" w14:textId="77777777" w:rsidTr="00D10EE8">
        <w:trPr>
          <w:trHeight w:val="698"/>
        </w:trPr>
        <w:tc>
          <w:tcPr>
            <w:tcW w:w="1725" w:type="pct"/>
            <w:vAlign w:val="center"/>
          </w:tcPr>
          <w:p w14:paraId="42E17EB4" w14:textId="1D557514" w:rsidR="00880BBE" w:rsidRPr="00FA774A" w:rsidRDefault="00880BBE" w:rsidP="00880BBE">
            <w:pPr>
              <w:tabs>
                <w:tab w:val="left" w:pos="900"/>
                <w:tab w:val="left" w:pos="2160"/>
              </w:tabs>
              <w:jc w:val="both"/>
              <w:rPr>
                <w:spacing w:val="-1"/>
                <w:sz w:val="24"/>
                <w:szCs w:val="24"/>
              </w:rPr>
            </w:pPr>
            <w:r w:rsidRPr="00806E84">
              <w:rPr>
                <w:sz w:val="24"/>
                <w:szCs w:val="24"/>
                <w:lang w:eastAsia="en-US"/>
              </w:rPr>
              <w:t>Наявність обладнання, матеріально-технічної бази та технологій</w:t>
            </w:r>
          </w:p>
        </w:tc>
        <w:tc>
          <w:tcPr>
            <w:tcW w:w="3275" w:type="pct"/>
          </w:tcPr>
          <w:p w14:paraId="2E78150F" w14:textId="77777777" w:rsidR="00880BBE" w:rsidRPr="00806E84" w:rsidRDefault="00880BBE" w:rsidP="00880BBE">
            <w:pPr>
              <w:ind w:right="57"/>
              <w:jc w:val="both"/>
              <w:rPr>
                <w:sz w:val="24"/>
                <w:szCs w:val="24"/>
                <w:lang w:eastAsia="en-US"/>
              </w:rPr>
            </w:pPr>
            <w:r w:rsidRPr="00806E84">
              <w:rPr>
                <w:sz w:val="24"/>
                <w:szCs w:val="24"/>
                <w:lang w:eastAsia="en-US"/>
              </w:rPr>
              <w:t>1.1. Довідка в довільній формі про наявність обладнання, матеріально – технічної бази та технологій необхідних для надання послуг.</w:t>
            </w:r>
          </w:p>
          <w:p w14:paraId="6AF3E1E9" w14:textId="4FCCB1E5" w:rsidR="00880BBE" w:rsidRPr="00FA774A" w:rsidRDefault="00880BBE" w:rsidP="00880BBE">
            <w:pPr>
              <w:jc w:val="both"/>
              <w:rPr>
                <w:sz w:val="24"/>
                <w:szCs w:val="24"/>
              </w:rPr>
            </w:pPr>
            <w:r w:rsidRPr="00806E84">
              <w:rPr>
                <w:sz w:val="24"/>
                <w:szCs w:val="24"/>
                <w:lang w:eastAsia="en-US"/>
              </w:rPr>
              <w:t xml:space="preserve">1.2. Для підтвердження наявності автотранспорту надати: свідоцтво про реєстрацію транспортного засобу, </w:t>
            </w:r>
            <w:r w:rsidRPr="00806E84">
              <w:rPr>
                <w:sz w:val="24"/>
                <w:szCs w:val="24"/>
                <w:lang w:eastAsia="en-US"/>
              </w:rPr>
              <w:lastRenderedPageBreak/>
              <w:t xml:space="preserve">який є транспортом реагування та відповідає вимогам ЗУ «Про охоронну діяльність»; фотографію такого транспортного засобу з чіткою видимістю державного номеру та </w:t>
            </w:r>
            <w:proofErr w:type="spellStart"/>
            <w:r w:rsidRPr="00806E84">
              <w:rPr>
                <w:sz w:val="24"/>
                <w:szCs w:val="24"/>
                <w:lang w:eastAsia="en-US"/>
              </w:rPr>
              <w:t>кольорографічних</w:t>
            </w:r>
            <w:proofErr w:type="spellEnd"/>
            <w:r w:rsidRPr="00806E84">
              <w:rPr>
                <w:sz w:val="24"/>
                <w:szCs w:val="24"/>
                <w:lang w:eastAsia="en-US"/>
              </w:rPr>
              <w:t xml:space="preserve"> схем (написів), які передбачені Порядком обладнання транспорту реагування суб’єкта охоронної діяльності засобами радіотехнічного зв’язку, </w:t>
            </w:r>
            <w:proofErr w:type="spellStart"/>
            <w:r w:rsidRPr="00806E84">
              <w:rPr>
                <w:sz w:val="24"/>
                <w:szCs w:val="24"/>
                <w:lang w:eastAsia="en-US"/>
              </w:rPr>
              <w:t>кольорографічними</w:t>
            </w:r>
            <w:proofErr w:type="spellEnd"/>
            <w:r w:rsidRPr="00806E84">
              <w:rPr>
                <w:sz w:val="24"/>
                <w:szCs w:val="24"/>
                <w:lang w:eastAsia="en-US"/>
              </w:rPr>
              <w:t xml:space="preserve"> схемами (написами), світловими та звуковими сигналами (затвердженим наказом МВС України 18.04.2013 № 375) та ідентифікують суб'єкта охоронної діяльності.</w:t>
            </w:r>
          </w:p>
        </w:tc>
      </w:tr>
      <w:tr w:rsidR="00880BBE" w:rsidRPr="00FA774A" w14:paraId="4087E7E2" w14:textId="77777777" w:rsidTr="00334B8F">
        <w:trPr>
          <w:trHeight w:val="698"/>
        </w:trPr>
        <w:tc>
          <w:tcPr>
            <w:tcW w:w="1725" w:type="pct"/>
          </w:tcPr>
          <w:p w14:paraId="68519869" w14:textId="69172972" w:rsidR="00880BBE" w:rsidRPr="00806E84" w:rsidRDefault="00880BBE" w:rsidP="00880BBE">
            <w:pPr>
              <w:tabs>
                <w:tab w:val="left" w:pos="900"/>
                <w:tab w:val="left" w:pos="2160"/>
              </w:tabs>
              <w:jc w:val="both"/>
              <w:rPr>
                <w:sz w:val="24"/>
                <w:szCs w:val="24"/>
                <w:lang w:eastAsia="en-US"/>
              </w:rPr>
            </w:pPr>
            <w:r w:rsidRPr="00806E84">
              <w:rPr>
                <w:sz w:val="24"/>
                <w:szCs w:val="24"/>
                <w:lang w:eastAsia="en-US"/>
              </w:rPr>
              <w:lastRenderedPageBreak/>
              <w:t>Наявність документально підтвердженого досвіду виконання аналогічного договору</w:t>
            </w:r>
          </w:p>
        </w:tc>
        <w:tc>
          <w:tcPr>
            <w:tcW w:w="3275" w:type="pct"/>
          </w:tcPr>
          <w:p w14:paraId="389DED5B" w14:textId="77777777" w:rsidR="00880BBE" w:rsidRPr="00806E84" w:rsidRDefault="00880BBE" w:rsidP="00880BBE">
            <w:pPr>
              <w:jc w:val="both"/>
              <w:rPr>
                <w:sz w:val="24"/>
                <w:szCs w:val="24"/>
                <w:lang w:eastAsia="en-US"/>
              </w:rPr>
            </w:pPr>
            <w:r w:rsidRPr="00806E84">
              <w:rPr>
                <w:sz w:val="24"/>
                <w:szCs w:val="24"/>
                <w:lang w:eastAsia="en-US"/>
              </w:rPr>
              <w:t xml:space="preserve">1. Довідка в довільній формі про виконання аналогічного договору, із зазначенням інформації про виконання аналогічного договору, що має містити: назва організації - Замовника, № Договору, дата укладання Договору </w:t>
            </w:r>
          </w:p>
          <w:p w14:paraId="1DA787F7" w14:textId="77777777" w:rsidR="00880BBE" w:rsidRPr="00806E84" w:rsidRDefault="00880BBE" w:rsidP="00880BBE">
            <w:pPr>
              <w:jc w:val="both"/>
              <w:rPr>
                <w:sz w:val="24"/>
                <w:szCs w:val="24"/>
                <w:lang w:eastAsia="en-US"/>
              </w:rPr>
            </w:pPr>
            <w:r w:rsidRPr="00806E84">
              <w:rPr>
                <w:sz w:val="24"/>
                <w:szCs w:val="24"/>
                <w:lang w:eastAsia="en-US"/>
              </w:rPr>
              <w:t xml:space="preserve">2. </w:t>
            </w:r>
            <w:proofErr w:type="spellStart"/>
            <w:r w:rsidRPr="00806E84">
              <w:rPr>
                <w:sz w:val="24"/>
                <w:szCs w:val="24"/>
                <w:lang w:eastAsia="en-US"/>
              </w:rPr>
              <w:t>Скан</w:t>
            </w:r>
            <w:proofErr w:type="spellEnd"/>
            <w:r w:rsidRPr="00806E84">
              <w:rPr>
                <w:sz w:val="24"/>
                <w:szCs w:val="24"/>
                <w:lang w:eastAsia="en-US"/>
              </w:rPr>
              <w:t>-копію аналогічного договору, зазначеного в довідці.</w:t>
            </w:r>
          </w:p>
          <w:p w14:paraId="1D50D1A8" w14:textId="3F17C248" w:rsidR="00880BBE" w:rsidRPr="00806E84" w:rsidRDefault="00880BBE" w:rsidP="00880BBE">
            <w:pPr>
              <w:ind w:right="57"/>
              <w:jc w:val="both"/>
              <w:rPr>
                <w:sz w:val="24"/>
                <w:szCs w:val="24"/>
                <w:lang w:eastAsia="en-US"/>
              </w:rPr>
            </w:pPr>
            <w:r w:rsidRPr="00806E84">
              <w:rPr>
                <w:sz w:val="24"/>
                <w:szCs w:val="24"/>
                <w:lang w:eastAsia="en-US"/>
              </w:rPr>
              <w:t>3. Лист-відгук від замовника, що підтверджує достовірність виконання аналогічного договору, зазначеного в довідці.</w:t>
            </w:r>
          </w:p>
        </w:tc>
      </w:tr>
    </w:tbl>
    <w:p w14:paraId="54AC9B90" w14:textId="138CB5B4" w:rsidR="00A815E9" w:rsidRPr="00FA774A" w:rsidRDefault="00A815E9" w:rsidP="00EE33E3">
      <w:pPr>
        <w:jc w:val="both"/>
        <w:rPr>
          <w:sz w:val="24"/>
          <w:szCs w:val="24"/>
        </w:rPr>
      </w:pPr>
    </w:p>
    <w:p w14:paraId="6122ABE9" w14:textId="579DE783" w:rsidR="00A84655" w:rsidRPr="00FA774A"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0A2A0594" w14:textId="77777777" w:rsidR="00A84655" w:rsidRPr="00FA774A" w:rsidRDefault="00A84655" w:rsidP="00A84655">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6254E97C"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880BBE">
        <w:rPr>
          <w:sz w:val="24"/>
          <w:szCs w:val="24"/>
        </w:rPr>
        <w:t xml:space="preserve">47 </w:t>
      </w:r>
      <w:r w:rsidRPr="00FA774A">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FA774A" w:rsidRDefault="00A84655" w:rsidP="00A84655">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513B8962" w14:textId="77777777" w:rsidR="00A84655" w:rsidRPr="00FA774A" w:rsidRDefault="00A84655" w:rsidP="00A84655">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w:t>
      </w:r>
      <w:r w:rsidRPr="00FA774A">
        <w:rPr>
          <w:sz w:val="24"/>
          <w:szCs w:val="24"/>
        </w:rPr>
        <w:lastRenderedPageBreak/>
        <w:t xml:space="preserve">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7412455F" w14:textId="77777777" w:rsidR="00A84655" w:rsidRPr="00FA774A" w:rsidRDefault="00A84655" w:rsidP="00A84655">
      <w:pPr>
        <w:spacing w:after="80"/>
        <w:jc w:val="both"/>
        <w:rPr>
          <w:color w:val="00B050"/>
          <w:sz w:val="24"/>
          <w:szCs w:val="24"/>
        </w:rPr>
      </w:pPr>
    </w:p>
    <w:p w14:paraId="7BFC465E" w14:textId="0718A94A" w:rsidR="00A84655" w:rsidRPr="00FA774A"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182483E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4BE50338"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B94E11" w14:textId="77777777" w:rsidR="00A84655" w:rsidRPr="00FA774A" w:rsidRDefault="00A84655" w:rsidP="00A84655">
      <w:pPr>
        <w:jc w:val="both"/>
        <w:rPr>
          <w:sz w:val="24"/>
          <w:szCs w:val="24"/>
        </w:rPr>
      </w:pPr>
    </w:p>
    <w:p w14:paraId="7EF4AA07" w14:textId="77777777" w:rsidR="00A84655" w:rsidRPr="00FA774A" w:rsidRDefault="00A84655" w:rsidP="00A84655">
      <w:pPr>
        <w:jc w:val="both"/>
        <w:rPr>
          <w:color w:val="000000"/>
          <w:sz w:val="24"/>
          <w:szCs w:val="24"/>
        </w:rPr>
      </w:pPr>
      <w:r w:rsidRPr="00FA774A">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FA774A"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FA774A" w:rsidRDefault="00A84655" w:rsidP="00AF32F3">
            <w:pPr>
              <w:ind w:left="100"/>
              <w:jc w:val="both"/>
              <w:rPr>
                <w:sz w:val="24"/>
                <w:szCs w:val="24"/>
              </w:rPr>
            </w:pPr>
            <w:r w:rsidRPr="00FA774A">
              <w:rPr>
                <w:color w:val="000000"/>
                <w:sz w:val="24"/>
                <w:szCs w:val="24"/>
              </w:rPr>
              <w:t>№</w:t>
            </w:r>
          </w:p>
          <w:p w14:paraId="2BC3DA68"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FA774A" w:rsidRDefault="00A84655" w:rsidP="00AF32F3">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460A5530" w14:textId="77777777" w:rsidR="00A84655" w:rsidRPr="00FA774A"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486E0937" w14:textId="77777777" w:rsidTr="00880BB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FA774A" w:rsidRDefault="00A84655" w:rsidP="00AF32F3">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FA774A" w:rsidRDefault="00A84655" w:rsidP="00AF32F3">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79FA8996" w14:textId="77777777" w:rsidTr="00880BB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FA774A" w:rsidRDefault="00A84655" w:rsidP="00AF32F3">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8307DD"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FA774A" w:rsidRDefault="00A84655" w:rsidP="00AF32F3">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3B41CE" w14:textId="77777777" w:rsidR="00A84655" w:rsidRPr="00FA774A" w:rsidRDefault="00A84655" w:rsidP="00AF32F3">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sz w:val="24"/>
                <w:szCs w:val="24"/>
              </w:rPr>
              <w:lastRenderedPageBreak/>
              <w:t xml:space="preserve">щодо керівника учасника процедури закупівлі. </w:t>
            </w:r>
          </w:p>
          <w:p w14:paraId="1958475E" w14:textId="77777777" w:rsidR="00A84655" w:rsidRPr="00FA774A" w:rsidRDefault="00A84655" w:rsidP="00AF32F3">
            <w:pPr>
              <w:jc w:val="both"/>
              <w:rPr>
                <w:sz w:val="24"/>
                <w:szCs w:val="24"/>
              </w:rPr>
            </w:pPr>
          </w:p>
          <w:p w14:paraId="6AB69838"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 </w:t>
            </w:r>
          </w:p>
        </w:tc>
      </w:tr>
      <w:tr w:rsidR="00A84655" w:rsidRPr="00FA774A" w14:paraId="3EB9E37D" w14:textId="77777777" w:rsidTr="00880BBE">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FA774A" w:rsidRDefault="00A84655" w:rsidP="00AF32F3">
            <w:pPr>
              <w:ind w:left="100"/>
              <w:jc w:val="both"/>
              <w:rPr>
                <w:sz w:val="24"/>
                <w:szCs w:val="24"/>
              </w:rPr>
            </w:pPr>
            <w:r w:rsidRPr="00FA774A">
              <w:rPr>
                <w:sz w:val="24"/>
                <w:szCs w:val="24"/>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FA774A" w:rsidRDefault="00A84655" w:rsidP="00AF32F3">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63BC0287"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FA774A" w:rsidRDefault="00A84655" w:rsidP="00AF32F3">
            <w:pPr>
              <w:ind w:left="100"/>
              <w:jc w:val="both"/>
              <w:rPr>
                <w:sz w:val="24"/>
                <w:szCs w:val="24"/>
              </w:rPr>
            </w:pPr>
            <w:r w:rsidRPr="00FA774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FA774A" w:rsidRDefault="00A84655" w:rsidP="00A84655">
      <w:pPr>
        <w:spacing w:before="240"/>
        <w:jc w:val="both"/>
        <w:rPr>
          <w:sz w:val="24"/>
          <w:szCs w:val="24"/>
        </w:rPr>
      </w:pPr>
      <w:r w:rsidRPr="00FA774A">
        <w:rPr>
          <w:color w:val="000000"/>
          <w:sz w:val="24"/>
          <w:szCs w:val="24"/>
        </w:rPr>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501"/>
        <w:gridCol w:w="4682"/>
      </w:tblGrid>
      <w:tr w:rsidR="00A84655" w:rsidRPr="00FA774A" w14:paraId="04612DE3" w14:textId="77777777" w:rsidTr="00AF32F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FA774A" w:rsidRDefault="00A84655" w:rsidP="00AF32F3">
            <w:pPr>
              <w:ind w:left="100"/>
              <w:jc w:val="both"/>
              <w:rPr>
                <w:sz w:val="24"/>
                <w:szCs w:val="24"/>
              </w:rPr>
            </w:pPr>
            <w:r w:rsidRPr="00FA774A">
              <w:rPr>
                <w:color w:val="000000"/>
                <w:sz w:val="24"/>
                <w:szCs w:val="24"/>
              </w:rPr>
              <w:t>№</w:t>
            </w:r>
          </w:p>
          <w:p w14:paraId="24724255"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FA774A" w:rsidRDefault="00A84655" w:rsidP="00AF32F3">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71A7085F" w14:textId="77777777" w:rsidR="00A84655" w:rsidRPr="00FA774A" w:rsidRDefault="00A84655" w:rsidP="00AF32F3">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0DBC134B" w14:textId="77777777" w:rsidTr="00AF32F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FA774A" w:rsidRDefault="00A84655" w:rsidP="00AF32F3">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FA774A" w:rsidRDefault="00A84655" w:rsidP="00AF32F3">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w:t>
            </w:r>
            <w:r w:rsidRPr="00FA774A">
              <w:rPr>
                <w:sz w:val="24"/>
                <w:szCs w:val="24"/>
              </w:rPr>
              <w:lastRenderedPageBreak/>
              <w:t>з корупцією правопорушення, яка не стосується запитувача.</w:t>
            </w:r>
          </w:p>
        </w:tc>
      </w:tr>
      <w:tr w:rsidR="00A84655" w:rsidRPr="00FA774A" w14:paraId="4DBAF96B" w14:textId="77777777" w:rsidTr="00AF32F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FA774A" w:rsidRDefault="00A84655" w:rsidP="00AF32F3">
            <w:pPr>
              <w:ind w:left="100"/>
              <w:jc w:val="both"/>
              <w:rPr>
                <w:sz w:val="24"/>
                <w:szCs w:val="24"/>
              </w:rPr>
            </w:pPr>
            <w:r w:rsidRPr="00FA774A">
              <w:rPr>
                <w:color w:val="000000"/>
                <w:sz w:val="24"/>
                <w:szCs w:val="24"/>
              </w:rPr>
              <w:lastRenderedPageBreak/>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FA774A" w:rsidRDefault="00A84655" w:rsidP="00AF32F3">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FA774A" w:rsidRDefault="00A84655" w:rsidP="00AF32F3">
            <w:pPr>
              <w:jc w:val="both"/>
              <w:rPr>
                <w:color w:val="000000"/>
                <w:sz w:val="24"/>
                <w:szCs w:val="24"/>
              </w:rPr>
            </w:pPr>
          </w:p>
          <w:p w14:paraId="2D87CC72"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A84655" w:rsidRPr="00FA774A" w14:paraId="07E4E874" w14:textId="77777777" w:rsidTr="00AF32F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FA774A" w:rsidRDefault="00A84655" w:rsidP="00AF32F3">
            <w:pPr>
              <w:ind w:left="100"/>
              <w:jc w:val="both"/>
              <w:rPr>
                <w:sz w:val="24"/>
                <w:szCs w:val="24"/>
              </w:rPr>
            </w:pPr>
            <w:r w:rsidRPr="00FA774A">
              <w:rPr>
                <w:sz w:val="24"/>
                <w:szCs w:val="24"/>
              </w:rPr>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FA774A" w:rsidRDefault="00A84655" w:rsidP="00AF32F3">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5A71AFD1" w14:textId="77777777" w:rsidTr="00880BBE">
        <w:trPr>
          <w:trHeight w:val="885"/>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FA774A" w:rsidRDefault="00A84655" w:rsidP="00AF32F3">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A30F2D">
      <w:headerReference w:type="even" r:id="rId8"/>
      <w:headerReference w:type="default" r:id="rId9"/>
      <w:pgSz w:w="11906" w:h="16838" w:code="9"/>
      <w:pgMar w:top="1134" w:right="1134" w:bottom="568"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Cambria"/>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3956D0C8"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0BBE">
      <w:rPr>
        <w:rStyle w:val="af"/>
        <w:noProof/>
      </w:rPr>
      <w:t>3</w:t>
    </w:r>
    <w:r w:rsidR="00880BBE">
      <w:rPr>
        <w:rStyle w:val="af"/>
        <w:noProof/>
      </w:rPr>
      <w:t>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55F31B97" w14:textId="66668C6A" w:rsidR="007A0B59" w:rsidRDefault="007A0B59" w:rsidP="004522D5">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241395A"/>
    <w:multiLevelType w:val="hybridMultilevel"/>
    <w:tmpl w:val="26EA63FA"/>
    <w:lvl w:ilvl="0" w:tplc="BFCC9484">
      <w:start w:val="73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0"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6"/>
  </w:num>
  <w:num w:numId="3" w16cid:durableId="1450782155">
    <w:abstractNumId w:val="17"/>
  </w:num>
  <w:num w:numId="4" w16cid:durableId="1541555312">
    <w:abstractNumId w:val="31"/>
  </w:num>
  <w:num w:numId="5" w16cid:durableId="480392342">
    <w:abstractNumId w:val="23"/>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7"/>
  </w:num>
  <w:num w:numId="12" w16cid:durableId="1954440935">
    <w:abstractNumId w:val="7"/>
  </w:num>
  <w:num w:numId="13" w16cid:durableId="630063535">
    <w:abstractNumId w:val="28"/>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5"/>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0"/>
  </w:num>
  <w:num w:numId="26" w16cid:durableId="1424719134">
    <w:abstractNumId w:val="24"/>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29"/>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27152120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2CFE"/>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3942"/>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751"/>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2D5"/>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184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174ED"/>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0BBE"/>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5AB0"/>
    <w:rsid w:val="00997E31"/>
    <w:rsid w:val="009A01F9"/>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C756F"/>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0F2D"/>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A579D"/>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020"/>
    <w:rsid w:val="00BB47F2"/>
    <w:rsid w:val="00BB74FB"/>
    <w:rsid w:val="00BC12B5"/>
    <w:rsid w:val="00BC1554"/>
    <w:rsid w:val="00BC1E6C"/>
    <w:rsid w:val="00BC2BC8"/>
    <w:rsid w:val="00BC5367"/>
    <w:rsid w:val="00BC5AFE"/>
    <w:rsid w:val="00BC6126"/>
    <w:rsid w:val="00BD0A33"/>
    <w:rsid w:val="00BD47E5"/>
    <w:rsid w:val="00BD4E2F"/>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43CE"/>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4FB3"/>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8822</Words>
  <Characters>5029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13824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2024-02-06T12:19:00Z</cp:lastPrinted>
  <dcterms:created xsi:type="dcterms:W3CDTF">2024-02-09T12:32:00Z</dcterms:created>
  <dcterms:modified xsi:type="dcterms:W3CDTF">2024-02-09T12:32:00Z</dcterms:modified>
</cp:coreProperties>
</file>