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D443CE" w:rsidRDefault="00C37236" w:rsidP="00EE33E3">
      <w:pPr>
        <w:pStyle w:val="af3"/>
        <w:jc w:val="both"/>
        <w:rPr>
          <w:rFonts w:ascii="Times New Roman" w:hAnsi="Times New Roman"/>
          <w:iCs/>
          <w:sz w:val="24"/>
          <w:szCs w:val="24"/>
        </w:rPr>
      </w:pPr>
    </w:p>
    <w:p w14:paraId="36169EAB" w14:textId="77777777" w:rsidR="00D443CE" w:rsidRPr="00806E84" w:rsidRDefault="00D443CE" w:rsidP="00D443CE">
      <w:pPr>
        <w:pStyle w:val="af3"/>
        <w:jc w:val="center"/>
        <w:rPr>
          <w:rFonts w:ascii="Times New Roman" w:eastAsia="SimSun" w:hAnsi="Times New Roman"/>
          <w:kern w:val="3"/>
          <w:sz w:val="24"/>
          <w:szCs w:val="24"/>
          <w:lang w:eastAsia="zh-CN" w:bidi="hi-IN"/>
        </w:rPr>
      </w:pPr>
      <w:r w:rsidRPr="00806E84">
        <w:rPr>
          <w:rFonts w:ascii="Times New Roman" w:eastAsia="SimSun" w:hAnsi="Times New Roman"/>
          <w:kern w:val="3"/>
          <w:sz w:val="24"/>
          <w:szCs w:val="24"/>
          <w:lang w:eastAsia="zh-CN" w:bidi="hi-IN"/>
        </w:rPr>
        <w:t>Технічні вимоги на проведення закупівлі</w:t>
      </w:r>
    </w:p>
    <w:p w14:paraId="1CD1CA3C" w14:textId="77777777" w:rsidR="00D443CE" w:rsidRPr="00806E84" w:rsidRDefault="00D443CE" w:rsidP="00D443CE">
      <w:pPr>
        <w:jc w:val="center"/>
        <w:rPr>
          <w:sz w:val="24"/>
          <w:szCs w:val="24"/>
        </w:rPr>
      </w:pPr>
      <w:r w:rsidRPr="00806E84">
        <w:rPr>
          <w:sz w:val="24"/>
          <w:szCs w:val="24"/>
        </w:rPr>
        <w:t xml:space="preserve">Послуги з охорони </w:t>
      </w:r>
      <w:r w:rsidRPr="00806E84">
        <w:rPr>
          <w:rFonts w:eastAsia="SimSun"/>
          <w:kern w:val="1"/>
          <w:sz w:val="24"/>
          <w:szCs w:val="24"/>
          <w:lang w:eastAsia="hi-IN" w:bidi="hi-IN"/>
        </w:rPr>
        <w:t xml:space="preserve">ДК 021-2015: </w:t>
      </w:r>
      <w:r w:rsidRPr="00806E84">
        <w:rPr>
          <w:sz w:val="24"/>
          <w:szCs w:val="24"/>
        </w:rPr>
        <w:t>79710000-4 (охоронні послуги)</w:t>
      </w:r>
    </w:p>
    <w:p w14:paraId="3748178B" w14:textId="77777777" w:rsidR="00D443CE" w:rsidRPr="00806E84" w:rsidRDefault="00D443CE" w:rsidP="00D443CE">
      <w:pPr>
        <w:jc w:val="center"/>
        <w:rPr>
          <w:sz w:val="24"/>
          <w:szCs w:val="24"/>
        </w:rPr>
      </w:pPr>
    </w:p>
    <w:p w14:paraId="63BC0EBA" w14:textId="77777777" w:rsidR="00D443CE" w:rsidRPr="00806E84" w:rsidRDefault="00D443CE" w:rsidP="00D443CE">
      <w:pPr>
        <w:pStyle w:val="af0"/>
        <w:tabs>
          <w:tab w:val="left" w:pos="645"/>
        </w:tabs>
        <w:spacing w:after="0"/>
        <w:ind w:firstLine="567"/>
        <w:rPr>
          <w:color w:val="000000"/>
          <w:sz w:val="24"/>
          <w:szCs w:val="24"/>
        </w:rPr>
      </w:pPr>
      <w:r w:rsidRPr="00806E84">
        <w:rPr>
          <w:sz w:val="24"/>
          <w:szCs w:val="24"/>
        </w:rPr>
        <w:tab/>
      </w:r>
      <w:r w:rsidRPr="00806E84">
        <w:rPr>
          <w:color w:val="000000"/>
          <w:sz w:val="24"/>
          <w:szCs w:val="24"/>
        </w:rPr>
        <w:t xml:space="preserve">Перелік послуг: </w:t>
      </w:r>
    </w:p>
    <w:p w14:paraId="408DF09A" w14:textId="77777777" w:rsidR="00D443CE" w:rsidRPr="00806E84" w:rsidRDefault="00D443CE" w:rsidP="00D443CE">
      <w:pPr>
        <w:pStyle w:val="af0"/>
        <w:numPr>
          <w:ilvl w:val="0"/>
          <w:numId w:val="34"/>
        </w:numPr>
        <w:tabs>
          <w:tab w:val="left" w:pos="645"/>
        </w:tabs>
        <w:spacing w:after="0"/>
        <w:ind w:left="709" w:hanging="142"/>
        <w:jc w:val="both"/>
        <w:rPr>
          <w:color w:val="000000"/>
          <w:sz w:val="24"/>
          <w:szCs w:val="24"/>
        </w:rPr>
      </w:pPr>
      <w:r w:rsidRPr="00806E84">
        <w:rPr>
          <w:color w:val="000000"/>
          <w:sz w:val="24"/>
          <w:szCs w:val="24"/>
        </w:rPr>
        <w:t xml:space="preserve">забезпечення фізичної охорони об’єкту: будівлі та прилеглої території, що використовується Замовником та знаходиться за </w:t>
      </w:r>
      <w:proofErr w:type="spellStart"/>
      <w:r w:rsidRPr="00806E84">
        <w:rPr>
          <w:color w:val="000000"/>
          <w:sz w:val="24"/>
          <w:szCs w:val="24"/>
        </w:rPr>
        <w:t>адресою</w:t>
      </w:r>
      <w:proofErr w:type="spellEnd"/>
      <w:r w:rsidRPr="00806E84">
        <w:rPr>
          <w:color w:val="000000"/>
          <w:sz w:val="24"/>
          <w:szCs w:val="24"/>
        </w:rPr>
        <w:t>: м. Київ, вул. Героїв Севастополя 37А, силами одного цілодобового посту охорони у складі одного охоронника.</w:t>
      </w:r>
    </w:p>
    <w:p w14:paraId="20542787" w14:textId="77777777" w:rsidR="00D443CE" w:rsidRPr="00806E84" w:rsidRDefault="00D443CE" w:rsidP="00D443CE">
      <w:pPr>
        <w:ind w:firstLine="567"/>
        <w:jc w:val="both"/>
        <w:rPr>
          <w:color w:val="000000"/>
          <w:sz w:val="24"/>
          <w:szCs w:val="24"/>
        </w:rPr>
      </w:pPr>
      <w:r w:rsidRPr="00806E84">
        <w:rPr>
          <w:color w:val="000000"/>
          <w:sz w:val="24"/>
          <w:szCs w:val="24"/>
        </w:rPr>
        <w:t>Надання послуг забезпечується шляхом:</w:t>
      </w:r>
    </w:p>
    <w:p w14:paraId="577D28E1" w14:textId="77777777" w:rsidR="00D443CE" w:rsidRPr="00806E84" w:rsidRDefault="00D443CE" w:rsidP="00D443CE">
      <w:pPr>
        <w:ind w:firstLine="567"/>
        <w:jc w:val="both"/>
        <w:rPr>
          <w:color w:val="000000"/>
          <w:sz w:val="24"/>
          <w:szCs w:val="24"/>
        </w:rPr>
      </w:pPr>
      <w:r w:rsidRPr="00806E84">
        <w:rPr>
          <w:color w:val="000000"/>
          <w:sz w:val="24"/>
          <w:szCs w:val="24"/>
        </w:rPr>
        <w:t>- забезпечення належної охорони об’єктів, а саме: рухомого складу, автомобільного транспорту, товарно-матеріальних цінностей, прийнятих під охорону;</w:t>
      </w:r>
    </w:p>
    <w:p w14:paraId="77961A79" w14:textId="77777777" w:rsidR="00D443CE" w:rsidRPr="00806E84" w:rsidRDefault="00D443CE" w:rsidP="00D443CE">
      <w:pPr>
        <w:ind w:firstLine="567"/>
        <w:jc w:val="both"/>
        <w:rPr>
          <w:color w:val="000000"/>
          <w:sz w:val="24"/>
          <w:szCs w:val="24"/>
        </w:rPr>
      </w:pPr>
      <w:r w:rsidRPr="00806E84">
        <w:rPr>
          <w:color w:val="000000"/>
          <w:sz w:val="24"/>
          <w:szCs w:val="24"/>
        </w:rPr>
        <w:t>- забезпечення охорони обладнання, майна та матеріальних цінностей, що знаходяться на об’єкті охорони, і передані під охорону Замовником;</w:t>
      </w:r>
    </w:p>
    <w:p w14:paraId="548292E2" w14:textId="77777777" w:rsidR="00D443CE" w:rsidRPr="00806E84" w:rsidRDefault="00D443CE" w:rsidP="00D443CE">
      <w:pPr>
        <w:ind w:firstLine="567"/>
        <w:jc w:val="both"/>
        <w:rPr>
          <w:color w:val="000000"/>
          <w:sz w:val="24"/>
          <w:szCs w:val="24"/>
        </w:rPr>
      </w:pPr>
      <w:r w:rsidRPr="00806E84">
        <w:rPr>
          <w:color w:val="000000"/>
          <w:sz w:val="24"/>
          <w:szCs w:val="24"/>
        </w:rPr>
        <w:t>- здійснення на об’єкті контролю за винесенням та внесенням (вивезенням та ввезенням) обладнання, майна і матеріальних цінностей з території чи на територію об’єкту;</w:t>
      </w:r>
    </w:p>
    <w:p w14:paraId="3049DCEB" w14:textId="77777777" w:rsidR="00D443CE" w:rsidRPr="00806E84" w:rsidRDefault="00D443CE" w:rsidP="00D443CE">
      <w:pPr>
        <w:ind w:firstLine="567"/>
        <w:jc w:val="both"/>
        <w:rPr>
          <w:color w:val="000000"/>
          <w:sz w:val="24"/>
          <w:szCs w:val="24"/>
        </w:rPr>
      </w:pPr>
      <w:r w:rsidRPr="00806E84">
        <w:rPr>
          <w:color w:val="000000"/>
          <w:sz w:val="24"/>
          <w:szCs w:val="24"/>
        </w:rPr>
        <w:t>- попередження виникнення конфліктних ситуацій, що створюють загрозу для безпеки об’єкту охорони, припинення протиправні дії осіб, що спрямовані проти майна Замовника, чи громадського порядку на території об’єкту;</w:t>
      </w:r>
    </w:p>
    <w:p w14:paraId="1CACDDAB" w14:textId="77777777" w:rsidR="00D443CE" w:rsidRPr="00806E84" w:rsidRDefault="00D443CE" w:rsidP="00D443CE">
      <w:pPr>
        <w:ind w:firstLine="567"/>
        <w:jc w:val="both"/>
        <w:rPr>
          <w:color w:val="000000"/>
          <w:sz w:val="24"/>
          <w:szCs w:val="24"/>
        </w:rPr>
      </w:pPr>
      <w:r w:rsidRPr="00806E84">
        <w:rPr>
          <w:color w:val="000000"/>
          <w:sz w:val="24"/>
          <w:szCs w:val="24"/>
        </w:rPr>
        <w:t>- інформування замовника, оперативних підрозділів МВС, аварійно-рятувальних підрозділів ДСНС України та інших оперативних служб міста у випадку виникнення порушень в нормальній роботі, виявлених порушень законодавства, позаштатних або надзвичайних ситуацій на об’єкті, який охороняється. При виникненні надзвичайних ситуацій – залучення до евакуації працівників та відвідувачів з об’єкта;</w:t>
      </w:r>
    </w:p>
    <w:p w14:paraId="2EC0A8BD" w14:textId="77777777" w:rsidR="00D443CE" w:rsidRPr="00806E84" w:rsidRDefault="00D443CE" w:rsidP="00D443CE">
      <w:pPr>
        <w:ind w:firstLine="567"/>
        <w:jc w:val="both"/>
        <w:rPr>
          <w:color w:val="000000"/>
          <w:sz w:val="24"/>
          <w:szCs w:val="24"/>
        </w:rPr>
      </w:pPr>
      <w:r w:rsidRPr="00806E84">
        <w:rPr>
          <w:color w:val="000000"/>
          <w:sz w:val="24"/>
          <w:szCs w:val="24"/>
        </w:rPr>
        <w:t>- виконання робіт із розчищення снігу на території об’єкта охорони у обсягах, необхідних для в’їзду автотранспорту перед початком робочого часу (о 9-00 у робочі дні);</w:t>
      </w:r>
    </w:p>
    <w:p w14:paraId="3016164E" w14:textId="77777777" w:rsidR="00D443CE" w:rsidRPr="00806E84" w:rsidRDefault="00D443CE" w:rsidP="00D443CE">
      <w:pPr>
        <w:ind w:firstLine="567"/>
        <w:jc w:val="both"/>
        <w:rPr>
          <w:sz w:val="24"/>
          <w:szCs w:val="24"/>
        </w:rPr>
      </w:pPr>
      <w:r w:rsidRPr="00806E84">
        <w:rPr>
          <w:sz w:val="24"/>
          <w:szCs w:val="24"/>
        </w:rPr>
        <w:t xml:space="preserve">- встановлення та підключення до власного централізованого пульта охорони (моніторингової станції) кнопки тривожного виклику на посту охорони та здійснювати її технічне обслуговування та реагування на тривожні виклики мобільними групами за власні кошти, протягом дії договору. </w:t>
      </w:r>
    </w:p>
    <w:p w14:paraId="5A62784A" w14:textId="77777777" w:rsidR="00D443CE" w:rsidRPr="00806E84" w:rsidRDefault="00D443CE" w:rsidP="00D443CE">
      <w:pPr>
        <w:ind w:firstLine="567"/>
        <w:jc w:val="both"/>
        <w:rPr>
          <w:sz w:val="24"/>
          <w:szCs w:val="24"/>
        </w:rPr>
      </w:pPr>
      <w:r w:rsidRPr="00806E84">
        <w:rPr>
          <w:sz w:val="24"/>
          <w:szCs w:val="24"/>
        </w:rPr>
        <w:t xml:space="preserve">Для здійснення безпечної передачі даних від об’єктового обладнання до пульта централізованої охорони, повинні використовуватись захищені корпоративні мережі (основна та резервна) з виділеною APN (Access </w:t>
      </w:r>
      <w:proofErr w:type="spellStart"/>
      <w:r w:rsidRPr="00806E84">
        <w:rPr>
          <w:sz w:val="24"/>
          <w:szCs w:val="24"/>
        </w:rPr>
        <w:t>Point</w:t>
      </w:r>
      <w:proofErr w:type="spellEnd"/>
      <w:r w:rsidRPr="00806E84">
        <w:rPr>
          <w:sz w:val="24"/>
          <w:szCs w:val="24"/>
        </w:rPr>
        <w:t xml:space="preserve"> </w:t>
      </w:r>
      <w:proofErr w:type="spellStart"/>
      <w:r w:rsidRPr="00806E84">
        <w:rPr>
          <w:sz w:val="24"/>
          <w:szCs w:val="24"/>
        </w:rPr>
        <w:t>Name</w:t>
      </w:r>
      <w:proofErr w:type="spellEnd"/>
      <w:r w:rsidRPr="00806E84">
        <w:rPr>
          <w:sz w:val="24"/>
          <w:szCs w:val="24"/>
        </w:rPr>
        <w:t>) (з обмеженням виходу пакетного трафіку за межі корпоративної мережі та проникнення трафіку у мережу ззовні). Для підтвердження надати в складі тендерної пропозиції листи не менше двох різних операторів стільникового зв’язку про наявність корпоративної мережі з виділеною APN (із зазначенням назви APN).</w:t>
      </w:r>
    </w:p>
    <w:p w14:paraId="0EAD9371" w14:textId="77777777" w:rsidR="00D443CE" w:rsidRPr="00806E84" w:rsidRDefault="00D443CE" w:rsidP="00D443CE">
      <w:pPr>
        <w:ind w:firstLine="567"/>
        <w:jc w:val="both"/>
        <w:rPr>
          <w:sz w:val="24"/>
          <w:szCs w:val="24"/>
        </w:rPr>
      </w:pPr>
      <w:r w:rsidRPr="00806E84">
        <w:rPr>
          <w:sz w:val="24"/>
          <w:szCs w:val="24"/>
        </w:rPr>
        <w:t xml:space="preserve">Учасник повинен мати власний транспорт реагування, що відповідає вимогам Закону України «Про охоронну діяльність». </w:t>
      </w:r>
    </w:p>
    <w:p w14:paraId="33FE0063" w14:textId="77777777" w:rsidR="00D443CE" w:rsidRPr="00806E84" w:rsidRDefault="00D443CE" w:rsidP="00D443CE">
      <w:pPr>
        <w:ind w:firstLine="720"/>
        <w:contextualSpacing/>
        <w:jc w:val="both"/>
        <w:rPr>
          <w:sz w:val="24"/>
          <w:szCs w:val="24"/>
        </w:rPr>
      </w:pPr>
      <w:r w:rsidRPr="00806E84">
        <w:rPr>
          <w:sz w:val="24"/>
          <w:szCs w:val="24"/>
        </w:rPr>
        <w:t>Послуги повинні виконуватись за умови додержання вимог законів та інших нормативно-правових актів та мати наступні якісні характеристики:</w:t>
      </w:r>
    </w:p>
    <w:p w14:paraId="3261A17E" w14:textId="77777777" w:rsidR="00D443CE" w:rsidRPr="00806E84" w:rsidRDefault="00D443CE" w:rsidP="00D443CE">
      <w:pPr>
        <w:ind w:firstLine="720"/>
        <w:contextualSpacing/>
        <w:jc w:val="both"/>
        <w:rPr>
          <w:sz w:val="24"/>
          <w:szCs w:val="24"/>
        </w:rPr>
      </w:pPr>
    </w:p>
    <w:tbl>
      <w:tblPr>
        <w:tblW w:w="952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94"/>
        <w:gridCol w:w="6432"/>
      </w:tblGrid>
      <w:tr w:rsidR="00D443CE" w:rsidRPr="00806E84" w14:paraId="3C48C3E5" w14:textId="77777777" w:rsidTr="00521C87">
        <w:trPr>
          <w:tblHeader/>
          <w:jc w:val="center"/>
        </w:trPr>
        <w:tc>
          <w:tcPr>
            <w:tcW w:w="3094" w:type="dxa"/>
            <w:tcBorders>
              <w:top w:val="single" w:sz="4" w:space="0" w:color="auto"/>
              <w:left w:val="single" w:sz="4" w:space="0" w:color="auto"/>
              <w:bottom w:val="single" w:sz="4" w:space="0" w:color="auto"/>
              <w:right w:val="single" w:sz="4" w:space="0" w:color="auto"/>
            </w:tcBorders>
            <w:vAlign w:val="center"/>
          </w:tcPr>
          <w:p w14:paraId="667D3C35" w14:textId="77777777" w:rsidR="00D443CE" w:rsidRPr="00806E84" w:rsidRDefault="00D443CE" w:rsidP="00521C87">
            <w:pPr>
              <w:pStyle w:val="Default"/>
              <w:jc w:val="center"/>
              <w:rPr>
                <w:rFonts w:ascii="Times New Roman" w:hAnsi="Times New Roman" w:cs="Times New Roman"/>
                <w:color w:val="auto"/>
                <w:lang w:val="uk-UA"/>
              </w:rPr>
            </w:pPr>
            <w:r w:rsidRPr="00806E84">
              <w:rPr>
                <w:rFonts w:ascii="Times New Roman" w:hAnsi="Times New Roman" w:cs="Times New Roman"/>
                <w:color w:val="auto"/>
                <w:lang w:val="uk-UA"/>
              </w:rPr>
              <w:lastRenderedPageBreak/>
              <w:t>Характеристика</w:t>
            </w:r>
          </w:p>
        </w:tc>
        <w:tc>
          <w:tcPr>
            <w:tcW w:w="6432" w:type="dxa"/>
            <w:tcBorders>
              <w:top w:val="single" w:sz="4" w:space="0" w:color="auto"/>
              <w:left w:val="single" w:sz="4" w:space="0" w:color="auto"/>
              <w:bottom w:val="single" w:sz="4" w:space="0" w:color="auto"/>
              <w:right w:val="single" w:sz="4" w:space="0" w:color="auto"/>
            </w:tcBorders>
            <w:vAlign w:val="center"/>
          </w:tcPr>
          <w:p w14:paraId="6D7BAA7F" w14:textId="77777777" w:rsidR="00D443CE" w:rsidRPr="00806E84" w:rsidRDefault="00D443CE" w:rsidP="00521C87">
            <w:pPr>
              <w:pStyle w:val="Default"/>
              <w:jc w:val="center"/>
              <w:rPr>
                <w:rFonts w:ascii="Times New Roman" w:hAnsi="Times New Roman" w:cs="Times New Roman"/>
                <w:color w:val="auto"/>
                <w:lang w:val="uk-UA"/>
              </w:rPr>
            </w:pPr>
            <w:r w:rsidRPr="00806E84">
              <w:rPr>
                <w:rFonts w:ascii="Times New Roman" w:hAnsi="Times New Roman" w:cs="Times New Roman"/>
                <w:color w:val="auto"/>
                <w:lang w:val="uk-UA"/>
              </w:rPr>
              <w:t>Опис, деталізація, спосіб підтвердження</w:t>
            </w:r>
          </w:p>
        </w:tc>
      </w:tr>
      <w:tr w:rsidR="00D443CE" w:rsidRPr="00806E84" w14:paraId="1CBA09D2" w14:textId="77777777" w:rsidTr="00521C87">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4E900879" w14:textId="77777777" w:rsidR="00D443CE" w:rsidRPr="00806E84" w:rsidRDefault="00D443CE" w:rsidP="00521C87">
            <w:pPr>
              <w:pStyle w:val="Default"/>
              <w:jc w:val="center"/>
              <w:rPr>
                <w:rFonts w:ascii="Times New Roman" w:hAnsi="Times New Roman" w:cs="Times New Roman"/>
                <w:color w:val="auto"/>
                <w:lang w:val="uk-UA"/>
              </w:rPr>
            </w:pPr>
            <w:r w:rsidRPr="00806E84">
              <w:rPr>
                <w:rFonts w:ascii="Times New Roman" w:hAnsi="Times New Roman" w:cs="Times New Roman"/>
                <w:color w:val="auto"/>
                <w:lang w:val="uk-UA"/>
              </w:rPr>
              <w:t>Наявність дієвої системи управління та контролю якості надання послуг</w:t>
            </w:r>
          </w:p>
        </w:tc>
        <w:tc>
          <w:tcPr>
            <w:tcW w:w="6432" w:type="dxa"/>
            <w:tcBorders>
              <w:top w:val="single" w:sz="4" w:space="0" w:color="auto"/>
              <w:left w:val="single" w:sz="4" w:space="0" w:color="auto"/>
              <w:bottom w:val="single" w:sz="4" w:space="0" w:color="auto"/>
              <w:right w:val="single" w:sz="4" w:space="0" w:color="auto"/>
            </w:tcBorders>
            <w:vAlign w:val="center"/>
          </w:tcPr>
          <w:p w14:paraId="06A1F376"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Учасник повинен мати дієву систему управління та контролю якості надання послуг, зокрема:</w:t>
            </w:r>
          </w:p>
          <w:p w14:paraId="0E059FC1"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1. Учасник повинен надати сертифікат, який підтверджує, що система менеджменту якістю учасника (стосовно надання послуг, які є предметом закупівлі) відповідає ДСТУ ISО 9001:2015.</w:t>
            </w:r>
          </w:p>
          <w:p w14:paraId="08CE7733"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xml:space="preserve">2. Учасник повинен мати апаратно-програмний комплекс, що дозволяє здійснювати віддалений </w:t>
            </w:r>
            <w:proofErr w:type="spellStart"/>
            <w:r w:rsidRPr="00806E84">
              <w:rPr>
                <w:rFonts w:ascii="Times New Roman" w:hAnsi="Times New Roman" w:cs="Times New Roman"/>
                <w:color w:val="auto"/>
                <w:lang w:val="uk-UA"/>
              </w:rPr>
              <w:t>відеоконтроль</w:t>
            </w:r>
            <w:proofErr w:type="spellEnd"/>
            <w:r w:rsidRPr="00806E84">
              <w:rPr>
                <w:rFonts w:ascii="Times New Roman" w:hAnsi="Times New Roman" w:cs="Times New Roman"/>
                <w:color w:val="auto"/>
                <w:lang w:val="uk-UA"/>
              </w:rPr>
              <w:t xml:space="preserve"> за постом охорони в режимі реального часу через мережу Інтернет.</w:t>
            </w:r>
          </w:p>
          <w:p w14:paraId="73BF88F6"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Для підтвердження надати:</w:t>
            </w:r>
          </w:p>
          <w:p w14:paraId="15F6305E"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довідку та інструкцію (порядок дій Замовника) для доступу до існуючої системи віддаленого відео контролю Учасника (принаймні до однієї відеокамери на посту охорони). Інструкція повинна містити конкретний порядок дій, виконавши який, Замовник через мережу Інтернет отримає доступ до відеозображення з камери спостереження встановленої на існуючому посту охорони Учасника. Замовник залишає за собою право відхили тендерну пропозицію учасника в разі неможливості отримати доступ до відеозображення з камери спостереження встановленої на існуючому посту охорони Учасника.</w:t>
            </w:r>
          </w:p>
          <w:p w14:paraId="20AA4850"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3. Учасник повинен мати систему (апаратно-програмний комплекс), яка дозволяє здійснювати контроль проходження маршруту обстеження об’єкта (визначених контрольних точок маршруту) охоронником. Дана система (апаратно-програмний комплекс) повинна мати наступні функції:</w:t>
            </w:r>
          </w:p>
          <w:p w14:paraId="3FA4E773"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програмування графіку обстеження об’єкта;</w:t>
            </w:r>
          </w:p>
          <w:p w14:paraId="344FFE12"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можливість встановлення не менше 10 контрольних точок маршруту;</w:t>
            </w:r>
          </w:p>
          <w:p w14:paraId="7BD2C377"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звукове та візуальне нагадування охороннику про необхідність здійснення обстеження об’єкта та проходження конкретних точок маршруту;</w:t>
            </w:r>
          </w:p>
          <w:p w14:paraId="5FA19EA5"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формування та надсилання на власний пункт централізованого спостереження Учасника повідомлень про здійснення/не здійснення обстеження як всього маршруту так і його окремих контрольних точок;</w:t>
            </w:r>
          </w:p>
          <w:p w14:paraId="565007DE"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наявність тривожної кнопки для можливості відправлення сигналу тривоги з будь-якої точки маршруту обстеження об’єкта;</w:t>
            </w:r>
          </w:p>
          <w:p w14:paraId="574AA704"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автоматичне ведення електронного журналу реєстрації подій (повідомлень про здійснення/не здійснення обстеження (як всього маршруту так і окремих контрольних точок) та повідомлень про спрацювання тривожної кнопки), що передбачає збереження запису про відповідну подію протягом не менш як 30 діб;</w:t>
            </w:r>
          </w:p>
          <w:p w14:paraId="65F61659"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можливість формування звіту про здійснення обстеження об’єкту за конкретний період та надання такого звіту Замовнику за його окремим запитом.</w:t>
            </w:r>
          </w:p>
          <w:p w14:paraId="2CC442A1"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xml:space="preserve">Для підтвердження наявності та використання системи (апаратно-програмного комплексу), яка дозволяє </w:t>
            </w:r>
            <w:r w:rsidRPr="00806E84">
              <w:rPr>
                <w:rFonts w:ascii="Times New Roman" w:hAnsi="Times New Roman" w:cs="Times New Roman"/>
                <w:color w:val="auto"/>
                <w:lang w:val="uk-UA"/>
              </w:rPr>
              <w:lastRenderedPageBreak/>
              <w:t>здійснювати контроль проходження маршруту (контрольних точок маршруту) охоронником, Учасник повинен надати:</w:t>
            </w:r>
          </w:p>
          <w:p w14:paraId="003CDC5B"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опис системи (апаратно-програмного комплексу) із обов’язковим зазначенням її можливостей, складових частин та алгоритм (опис або схему) роботи;</w:t>
            </w:r>
          </w:p>
          <w:p w14:paraId="39DE3593"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перелік всіх складових частини системи, що розміщуються на об’єкті з їх фотографіями.</w:t>
            </w:r>
          </w:p>
        </w:tc>
      </w:tr>
      <w:tr w:rsidR="00D443CE" w:rsidRPr="00806E84" w14:paraId="3E4DFCD7" w14:textId="77777777" w:rsidTr="00521C87">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28176EBE" w14:textId="77777777" w:rsidR="00D443CE" w:rsidRPr="00806E84" w:rsidRDefault="00D443CE" w:rsidP="00521C87">
            <w:pPr>
              <w:pStyle w:val="Default"/>
              <w:jc w:val="center"/>
              <w:rPr>
                <w:rFonts w:ascii="Times New Roman" w:hAnsi="Times New Roman" w:cs="Times New Roman"/>
                <w:color w:val="auto"/>
                <w:lang w:val="uk-UA"/>
              </w:rPr>
            </w:pPr>
            <w:r w:rsidRPr="00806E84">
              <w:rPr>
                <w:rFonts w:ascii="Times New Roman" w:hAnsi="Times New Roman" w:cs="Times New Roman"/>
                <w:color w:val="auto"/>
                <w:lang w:val="uk-UA"/>
              </w:rPr>
              <w:lastRenderedPageBreak/>
              <w:t>Вимоги до організації охорони під час нештатних ситуацій</w:t>
            </w:r>
          </w:p>
        </w:tc>
        <w:tc>
          <w:tcPr>
            <w:tcW w:w="6432" w:type="dxa"/>
            <w:tcBorders>
              <w:top w:val="single" w:sz="4" w:space="0" w:color="auto"/>
              <w:left w:val="single" w:sz="4" w:space="0" w:color="auto"/>
              <w:bottom w:val="single" w:sz="4" w:space="0" w:color="auto"/>
              <w:right w:val="single" w:sz="4" w:space="0" w:color="auto"/>
            </w:tcBorders>
            <w:vAlign w:val="center"/>
          </w:tcPr>
          <w:p w14:paraId="2600445E"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Документи, що підтверджують наявність цілодобового диспетчерського центру координації дій працівників охорони під час нештатних ситуацій та наявність професійних засобів радіозв’язку:</w:t>
            </w:r>
          </w:p>
          <w:p w14:paraId="734B9FB7"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довідка в довільній формі про наявність цілодобового центру координації дій працівників охорони під час нештатних ситуацій;</w:t>
            </w:r>
          </w:p>
          <w:p w14:paraId="373B19F4"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довідка про наявність засобів професійного радіозв’язку для здійснення координації дій працівників охорони;</w:t>
            </w:r>
          </w:p>
          <w:p w14:paraId="715F83D3"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дозволи, видані Учаснику ДП «Український державний центр радіочастот» (або витяг чи посилання на реєстр присвоєнь радіочастот відповідно до Закону України «Про електронні комунікації»), який підтверджує право Учасника на експлуатацію в регіоні надання послуг переносної радіостанції професійного УКХ радіозв'язку з потужністю вихідного сигналу передавача не менш 3 Вт (в кількості не менш ніж 4 шт.);</w:t>
            </w:r>
          </w:p>
          <w:p w14:paraId="78511BDA"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дозвіл, виданий Учаснику ДП «Український державний центр радіочастот» (або витяг чи посилання на реєстр присвоєнь радіочастот відповідно до Закону України «Про електронні комунікації»), який підтверджує право Учасника на експлуатацію радіоелектронного засобу (базової станції розміщеної в м. Київ) УКХ радіотелефонного зв’язку сухопутної рухомої служби з потужністю передавача не менше 15 Вт;</w:t>
            </w:r>
          </w:p>
          <w:p w14:paraId="5AA6711B"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 договір укладений учасником з уповноваженим органом, щодо здійснення заходів, пов’язаних з радіочастотним моніторингом та забезпеченням електромагнітної сумісності радіоелектронних засобів.</w:t>
            </w:r>
          </w:p>
        </w:tc>
      </w:tr>
      <w:tr w:rsidR="00D443CE" w:rsidRPr="00806E84" w14:paraId="17CA9C68" w14:textId="77777777" w:rsidTr="00521C87">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50E98A63" w14:textId="77777777" w:rsidR="00D443CE" w:rsidRPr="00806E84" w:rsidRDefault="00D443CE" w:rsidP="00521C87">
            <w:pPr>
              <w:pStyle w:val="Default"/>
              <w:jc w:val="center"/>
              <w:rPr>
                <w:rFonts w:ascii="Times New Roman" w:hAnsi="Times New Roman" w:cs="Times New Roman"/>
                <w:color w:val="auto"/>
                <w:highlight w:val="yellow"/>
                <w:lang w:val="uk-UA"/>
              </w:rPr>
            </w:pPr>
            <w:r w:rsidRPr="00806E84">
              <w:rPr>
                <w:rFonts w:ascii="Times New Roman" w:hAnsi="Times New Roman" w:cs="Times New Roman"/>
                <w:color w:val="auto"/>
                <w:lang w:val="uk-UA"/>
              </w:rPr>
              <w:t>Співпраця з поліцією</w:t>
            </w:r>
          </w:p>
        </w:tc>
        <w:tc>
          <w:tcPr>
            <w:tcW w:w="6432" w:type="dxa"/>
            <w:tcBorders>
              <w:top w:val="single" w:sz="4" w:space="0" w:color="auto"/>
              <w:left w:val="single" w:sz="4" w:space="0" w:color="auto"/>
              <w:bottom w:val="single" w:sz="4" w:space="0" w:color="auto"/>
              <w:right w:val="single" w:sz="4" w:space="0" w:color="auto"/>
            </w:tcBorders>
            <w:vAlign w:val="center"/>
          </w:tcPr>
          <w:p w14:paraId="2A6EE057"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Учасник повинен мати можливість залучення до затримання осіб, які проникли та незаконно перебувають на об'єкті, що охороняються груп швидкого реагування поліції охорони.</w:t>
            </w:r>
          </w:p>
          <w:p w14:paraId="7AA1446A" w14:textId="77777777" w:rsidR="00D443CE" w:rsidRPr="00806E84" w:rsidRDefault="00D443CE" w:rsidP="00521C87">
            <w:pPr>
              <w:pStyle w:val="Default"/>
              <w:jc w:val="both"/>
              <w:rPr>
                <w:rFonts w:ascii="Times New Roman" w:hAnsi="Times New Roman" w:cs="Times New Roman"/>
                <w:color w:val="auto"/>
                <w:lang w:val="uk-UA"/>
              </w:rPr>
            </w:pPr>
            <w:r w:rsidRPr="00806E84">
              <w:rPr>
                <w:rFonts w:ascii="Times New Roman" w:hAnsi="Times New Roman" w:cs="Times New Roman"/>
                <w:color w:val="auto"/>
                <w:lang w:val="uk-UA"/>
              </w:rPr>
              <w:t>Для підтвердження надати копії сторінок (першої сторінки та сторінки з реквізитами та підписами сторін) чинного договору з Управлінням поліції охорони в м. Києві.</w:t>
            </w:r>
          </w:p>
        </w:tc>
      </w:tr>
      <w:tr w:rsidR="00D443CE" w:rsidRPr="00806E84" w14:paraId="3BD09675" w14:textId="77777777" w:rsidTr="00521C87">
        <w:trPr>
          <w:jc w:val="center"/>
        </w:trPr>
        <w:tc>
          <w:tcPr>
            <w:tcW w:w="3094" w:type="dxa"/>
            <w:tcBorders>
              <w:top w:val="single" w:sz="4" w:space="0" w:color="auto"/>
              <w:left w:val="single" w:sz="4" w:space="0" w:color="auto"/>
              <w:bottom w:val="single" w:sz="4" w:space="0" w:color="auto"/>
              <w:right w:val="single" w:sz="4" w:space="0" w:color="auto"/>
            </w:tcBorders>
            <w:vAlign w:val="center"/>
          </w:tcPr>
          <w:p w14:paraId="52DF0C09" w14:textId="77777777" w:rsidR="00D443CE" w:rsidRPr="00806E84" w:rsidRDefault="00D443CE" w:rsidP="00521C87">
            <w:pPr>
              <w:pStyle w:val="Default"/>
              <w:jc w:val="center"/>
              <w:rPr>
                <w:rFonts w:ascii="Times New Roman" w:hAnsi="Times New Roman" w:cs="Times New Roman"/>
                <w:color w:val="auto"/>
                <w:highlight w:val="yellow"/>
                <w:lang w:val="uk-UA"/>
              </w:rPr>
            </w:pPr>
            <w:r w:rsidRPr="00806E84">
              <w:rPr>
                <w:rFonts w:ascii="Times New Roman" w:hAnsi="Times New Roman" w:cs="Times New Roman"/>
                <w:color w:val="auto"/>
                <w:lang w:val="uk-UA"/>
              </w:rPr>
              <w:t>Страхування відповідальності</w:t>
            </w:r>
          </w:p>
        </w:tc>
        <w:tc>
          <w:tcPr>
            <w:tcW w:w="6432" w:type="dxa"/>
            <w:tcBorders>
              <w:top w:val="single" w:sz="4" w:space="0" w:color="auto"/>
              <w:left w:val="single" w:sz="4" w:space="0" w:color="auto"/>
              <w:bottom w:val="single" w:sz="4" w:space="0" w:color="auto"/>
              <w:right w:val="single" w:sz="4" w:space="0" w:color="auto"/>
            </w:tcBorders>
            <w:vAlign w:val="center"/>
          </w:tcPr>
          <w:p w14:paraId="51DD8F55" w14:textId="77777777" w:rsidR="00D443CE" w:rsidRPr="00806E84" w:rsidRDefault="00D443CE" w:rsidP="00521C87">
            <w:pPr>
              <w:pStyle w:val="Default"/>
              <w:jc w:val="both"/>
              <w:rPr>
                <w:rFonts w:ascii="Times New Roman" w:hAnsi="Times New Roman" w:cs="Times New Roman"/>
                <w:color w:val="auto"/>
                <w:highlight w:val="yellow"/>
                <w:lang w:val="uk-UA"/>
              </w:rPr>
            </w:pPr>
            <w:r w:rsidRPr="00806E84">
              <w:rPr>
                <w:rFonts w:ascii="Times New Roman" w:hAnsi="Times New Roman" w:cs="Times New Roman"/>
                <w:color w:val="auto"/>
                <w:lang w:val="uk-UA"/>
              </w:rPr>
              <w:t>Учасник повинен мати договір добровільного страхування професійної відповідальності перед третіми особами. Для підтвердження необхідно надати такий договір у складі пропозиції.</w:t>
            </w:r>
          </w:p>
        </w:tc>
      </w:tr>
    </w:tbl>
    <w:p w14:paraId="4B727C23" w14:textId="77777777" w:rsidR="00D443CE" w:rsidRPr="00D443CE" w:rsidRDefault="00D443CE" w:rsidP="00EE33E3">
      <w:pPr>
        <w:pStyle w:val="af3"/>
        <w:jc w:val="both"/>
        <w:rPr>
          <w:rFonts w:ascii="Times New Roman" w:hAnsi="Times New Roman"/>
          <w:iCs/>
          <w:sz w:val="24"/>
          <w:szCs w:val="24"/>
        </w:rPr>
      </w:pPr>
    </w:p>
    <w:p w14:paraId="64D142FC" w14:textId="77777777" w:rsidR="00D443CE" w:rsidRPr="00D443CE" w:rsidRDefault="00D443CE" w:rsidP="00EE33E3">
      <w:pPr>
        <w:pStyle w:val="af3"/>
        <w:jc w:val="both"/>
        <w:rPr>
          <w:rFonts w:ascii="Times New Roman" w:hAnsi="Times New Roman"/>
          <w:iCs/>
          <w:sz w:val="24"/>
          <w:szCs w:val="24"/>
        </w:rPr>
      </w:pPr>
    </w:p>
    <w:sectPr w:rsidR="00D443CE" w:rsidRPr="00D443CE" w:rsidSect="00880BBE">
      <w:headerReference w:type="even" r:id="rId8"/>
      <w:headerReference w:type="default" r:id="rId9"/>
      <w:pgSz w:w="11906" w:h="16838" w:code="9"/>
      <w:pgMar w:top="1134" w:right="1134" w:bottom="851"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Cambria"/>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3956D0C8"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0BBE">
      <w:rPr>
        <w:rStyle w:val="af"/>
        <w:noProof/>
      </w:rPr>
      <w:t>3</w:t>
    </w:r>
    <w:r w:rsidR="00880BBE">
      <w:rPr>
        <w:rStyle w:val="af"/>
        <w:noProof/>
      </w:rPr>
      <w:t>2</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55F31B97" w14:textId="66668C6A" w:rsidR="007A0B59" w:rsidRDefault="007A0B59" w:rsidP="004522D5">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241395A"/>
    <w:multiLevelType w:val="hybridMultilevel"/>
    <w:tmpl w:val="26EA63FA"/>
    <w:lvl w:ilvl="0" w:tplc="BFCC9484">
      <w:start w:val="73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0"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6"/>
  </w:num>
  <w:num w:numId="3" w16cid:durableId="1450782155">
    <w:abstractNumId w:val="17"/>
  </w:num>
  <w:num w:numId="4" w16cid:durableId="1541555312">
    <w:abstractNumId w:val="31"/>
  </w:num>
  <w:num w:numId="5" w16cid:durableId="480392342">
    <w:abstractNumId w:val="23"/>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7"/>
  </w:num>
  <w:num w:numId="12" w16cid:durableId="1954440935">
    <w:abstractNumId w:val="7"/>
  </w:num>
  <w:num w:numId="13" w16cid:durableId="630063535">
    <w:abstractNumId w:val="28"/>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5"/>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0"/>
  </w:num>
  <w:num w:numId="26" w16cid:durableId="1424719134">
    <w:abstractNumId w:val="24"/>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29"/>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27152120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2D5"/>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174ED"/>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0BBE"/>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2C7D"/>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43CE"/>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4FB3"/>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4894</Words>
  <Characters>2791</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7670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2024-02-06T12:19:00Z</cp:lastPrinted>
  <dcterms:created xsi:type="dcterms:W3CDTF">2024-02-07T12:43:00Z</dcterms:created>
  <dcterms:modified xsi:type="dcterms:W3CDTF">2024-02-07T12:43:00Z</dcterms:modified>
</cp:coreProperties>
</file>